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156" w:afterLines="50"/>
        <w:rPr>
          <w:rFonts w:ascii="黑体" w:hAnsi="黑体" w:eastAsia="黑体"/>
          <w:color w:val="000000"/>
          <w:szCs w:val="28"/>
        </w:rPr>
      </w:pPr>
      <w:bookmarkStart w:id="1" w:name="_GoBack"/>
      <w:bookmarkEnd w:id="1"/>
      <w:bookmarkStart w:id="0" w:name="_Hlk57099353"/>
      <w:r>
        <w:rPr>
          <w:rFonts w:ascii="黑体" w:hAnsi="黑体" w:eastAsia="黑体"/>
          <w:color w:val="000000"/>
          <w:szCs w:val="28"/>
        </w:rPr>
        <w:t>附表1：研究方向简介</w:t>
      </w:r>
    </w:p>
    <w:tbl>
      <w:tblPr>
        <w:tblStyle w:val="11"/>
        <w:tblW w:w="14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08"/>
        <w:gridCol w:w="7513"/>
        <w:gridCol w:w="4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03" w:type="dxa"/>
            <w:gridSpan w:val="2"/>
            <w:vAlign w:val="center"/>
          </w:tcPr>
          <w:p>
            <w:pPr>
              <w:jc w:val="center"/>
              <w:rPr>
                <w:rFonts w:asciiTheme="minorEastAsia" w:hAnsiTheme="minorEastAsia"/>
                <w:b/>
                <w:sz w:val="18"/>
                <w:szCs w:val="18"/>
              </w:rPr>
            </w:pPr>
            <w:r>
              <w:rPr>
                <w:rFonts w:hint="eastAsia" w:asciiTheme="minorEastAsia" w:hAnsiTheme="minorEastAsia"/>
                <w:b/>
                <w:sz w:val="18"/>
                <w:szCs w:val="18"/>
              </w:rPr>
              <w:t>类  别</w:t>
            </w:r>
          </w:p>
        </w:tc>
        <w:tc>
          <w:tcPr>
            <w:tcW w:w="7513" w:type="dxa"/>
            <w:vAlign w:val="center"/>
          </w:tcPr>
          <w:p>
            <w:pPr>
              <w:jc w:val="center"/>
              <w:rPr>
                <w:rFonts w:asciiTheme="minorEastAsia" w:hAnsiTheme="minorEastAsia"/>
                <w:b/>
                <w:sz w:val="18"/>
                <w:szCs w:val="18"/>
              </w:rPr>
            </w:pPr>
            <w:r>
              <w:rPr>
                <w:rFonts w:asciiTheme="minorEastAsia" w:hAnsiTheme="minorEastAsia"/>
                <w:b/>
                <w:sz w:val="18"/>
                <w:szCs w:val="18"/>
              </w:rPr>
              <w:t>培养目标</w:t>
            </w:r>
          </w:p>
        </w:tc>
        <w:tc>
          <w:tcPr>
            <w:tcW w:w="4761" w:type="dxa"/>
            <w:vAlign w:val="center"/>
          </w:tcPr>
          <w:p>
            <w:pPr>
              <w:jc w:val="center"/>
              <w:rPr>
                <w:rFonts w:asciiTheme="minorEastAsia" w:hAnsiTheme="minorEastAsia"/>
                <w:b/>
                <w:sz w:val="18"/>
                <w:szCs w:val="18"/>
              </w:rPr>
            </w:pPr>
            <w:r>
              <w:rPr>
                <w:rFonts w:asciiTheme="minorEastAsia" w:hAnsiTheme="minorEastAsia"/>
                <w:b/>
                <w:sz w:val="18"/>
                <w:szCs w:val="18"/>
              </w:rPr>
              <w:t>支撑课程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003" w:type="dxa"/>
            <w:gridSpan w:val="2"/>
            <w:vAlign w:val="center"/>
          </w:tcPr>
          <w:p>
            <w:pPr>
              <w:jc w:val="center"/>
              <w:rPr>
                <w:rFonts w:asciiTheme="minorEastAsia" w:hAnsiTheme="minorEastAsia"/>
                <w:b/>
                <w:sz w:val="18"/>
                <w:szCs w:val="18"/>
              </w:rPr>
            </w:pPr>
            <w:r>
              <w:rPr>
                <w:rFonts w:asciiTheme="minorEastAsia" w:hAnsiTheme="minorEastAsia"/>
                <w:b/>
                <w:sz w:val="18"/>
                <w:szCs w:val="18"/>
              </w:rPr>
              <w:t>综合素质</w:t>
            </w:r>
          </w:p>
        </w:tc>
        <w:tc>
          <w:tcPr>
            <w:tcW w:w="7513" w:type="dxa"/>
            <w:vAlign w:val="center"/>
          </w:tcPr>
          <w:p>
            <w:pPr>
              <w:ind w:firstLine="360" w:firstLineChars="200"/>
              <w:rPr>
                <w:rFonts w:cs="黑体" w:asciiTheme="minorEastAsia" w:hAnsiTheme="minorEastAsia"/>
                <w:color w:val="000000"/>
                <w:kern w:val="0"/>
                <w:sz w:val="18"/>
                <w:szCs w:val="18"/>
              </w:rPr>
            </w:pPr>
            <w:r>
              <w:rPr>
                <w:rFonts w:hint="eastAsia" w:cs="黑体" w:asciiTheme="minorEastAsia" w:hAnsiTheme="minorEastAsia"/>
                <w:color w:val="000000"/>
                <w:kern w:val="0"/>
                <w:sz w:val="18"/>
                <w:szCs w:val="18"/>
              </w:rPr>
              <w:t>坚持社会主义核心价值观，具备“诚信为本、操守为重、坚持准则、不做假账”的职业道德，具有终身学习意识、勇于创新精神和人文精神。</w:t>
            </w:r>
          </w:p>
        </w:tc>
        <w:tc>
          <w:tcPr>
            <w:tcW w:w="4761" w:type="dxa"/>
            <w:vAlign w:val="center"/>
          </w:tcPr>
          <w:p>
            <w:pPr>
              <w:jc w:val="left"/>
              <w:rPr>
                <w:rFonts w:asciiTheme="minorEastAsia" w:hAnsiTheme="minorEastAsia"/>
                <w:sz w:val="18"/>
                <w:szCs w:val="18"/>
              </w:rPr>
            </w:pPr>
            <w:r>
              <w:rPr>
                <w:rFonts w:hint="eastAsia" w:asciiTheme="minorEastAsia" w:hAnsiTheme="minorEastAsia"/>
                <w:sz w:val="18"/>
                <w:szCs w:val="18"/>
              </w:rPr>
              <w:t>新时代</w:t>
            </w:r>
            <w:r>
              <w:rPr>
                <w:rFonts w:asciiTheme="minorEastAsia" w:hAnsiTheme="minorEastAsia"/>
                <w:sz w:val="18"/>
                <w:szCs w:val="18"/>
              </w:rPr>
              <w:t>中国特色社会主义理论与实践</w:t>
            </w:r>
            <w:r>
              <w:rPr>
                <w:rFonts w:hint="eastAsia" w:asciiTheme="minorEastAsia" w:hAnsiTheme="minorEastAsia"/>
                <w:sz w:val="18"/>
                <w:szCs w:val="18"/>
              </w:rPr>
              <w:t>、马克思主义与社会科学方法论、商业伦理与会计职业道德、中国传统文化、诗歌与审美艺术、美术鉴赏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2003" w:type="dxa"/>
            <w:gridSpan w:val="2"/>
            <w:vAlign w:val="center"/>
          </w:tcPr>
          <w:p>
            <w:pPr>
              <w:jc w:val="center"/>
              <w:rPr>
                <w:rFonts w:asciiTheme="minorEastAsia" w:hAnsiTheme="minorEastAsia"/>
                <w:b/>
                <w:sz w:val="18"/>
                <w:szCs w:val="18"/>
              </w:rPr>
            </w:pPr>
            <w:r>
              <w:rPr>
                <w:rFonts w:asciiTheme="minorEastAsia" w:hAnsiTheme="minorEastAsia"/>
                <w:b/>
                <w:sz w:val="18"/>
                <w:szCs w:val="18"/>
              </w:rPr>
              <w:t>综合能力</w:t>
            </w:r>
          </w:p>
        </w:tc>
        <w:tc>
          <w:tcPr>
            <w:tcW w:w="7513" w:type="dxa"/>
            <w:vAlign w:val="center"/>
          </w:tcPr>
          <w:p>
            <w:pPr>
              <w:ind w:firstLine="360" w:firstLineChars="200"/>
              <w:rPr>
                <w:rFonts w:cs="黑体" w:asciiTheme="minorEastAsia" w:hAnsiTheme="minorEastAsia"/>
                <w:color w:val="000000"/>
                <w:kern w:val="0"/>
                <w:sz w:val="18"/>
                <w:szCs w:val="18"/>
              </w:rPr>
            </w:pPr>
            <w:r>
              <w:rPr>
                <w:rFonts w:hint="eastAsia" w:cs="黑体" w:asciiTheme="minorEastAsia" w:hAnsiTheme="minorEastAsia"/>
                <w:color w:val="000000"/>
                <w:kern w:val="0"/>
                <w:sz w:val="18"/>
                <w:szCs w:val="18"/>
              </w:rPr>
              <w:t>能够</w:t>
            </w:r>
            <w:r>
              <w:rPr>
                <w:rFonts w:cs="黑体" w:asciiTheme="minorEastAsia" w:hAnsiTheme="minorEastAsia"/>
                <w:color w:val="000000"/>
                <w:kern w:val="0"/>
                <w:sz w:val="18"/>
                <w:szCs w:val="18"/>
              </w:rPr>
              <w:t>运用数据处理技术，支持企业正确决策</w:t>
            </w:r>
            <w:r>
              <w:rPr>
                <w:rFonts w:hint="eastAsia" w:cs="黑体" w:asciiTheme="minorEastAsia" w:hAnsiTheme="minorEastAsia"/>
                <w:color w:val="000000"/>
                <w:kern w:val="0"/>
                <w:sz w:val="18"/>
                <w:szCs w:val="18"/>
              </w:rPr>
              <w:t>，</w:t>
            </w:r>
            <w:r>
              <w:rPr>
                <w:rFonts w:cs="黑体" w:asciiTheme="minorEastAsia" w:hAnsiTheme="minorEastAsia"/>
                <w:color w:val="000000"/>
                <w:kern w:val="0"/>
                <w:sz w:val="18"/>
                <w:szCs w:val="18"/>
              </w:rPr>
              <w:t>熟练掌握和运用一门外国语</w:t>
            </w:r>
            <w:r>
              <w:rPr>
                <w:rFonts w:hint="eastAsia" w:cs="黑体" w:asciiTheme="minorEastAsia" w:hAnsiTheme="minorEastAsia"/>
                <w:color w:val="000000"/>
                <w:kern w:val="0"/>
                <w:sz w:val="18"/>
                <w:szCs w:val="18"/>
              </w:rPr>
              <w:t>，能阅读和撰写外文资料</w:t>
            </w:r>
            <w:r>
              <w:rPr>
                <w:rFonts w:cs="黑体" w:asciiTheme="minorEastAsia" w:hAnsiTheme="minorEastAsia"/>
                <w:color w:val="000000"/>
                <w:kern w:val="0"/>
                <w:sz w:val="18"/>
                <w:szCs w:val="18"/>
              </w:rPr>
              <w:t>。</w:t>
            </w:r>
            <w:r>
              <w:rPr>
                <w:rFonts w:hint="eastAsia" w:cs="黑体" w:asciiTheme="minorEastAsia" w:hAnsiTheme="minorEastAsia"/>
                <w:color w:val="000000"/>
                <w:kern w:val="0"/>
                <w:sz w:val="18"/>
                <w:szCs w:val="18"/>
              </w:rPr>
              <w:t>掌握会计工作坚实的基础理论和广泛的专业知识，掌握解决本领域某一方向实际问题的先进技术方法和现代技术手段，具有对财务与会计进行分析、预测、决策、规划和控制的能力，具有创新意识和独立担负财务与会计管理工作的能力。具有应用所学知识发现并分析、解决财务实际问题的能力。</w:t>
            </w:r>
          </w:p>
        </w:tc>
        <w:tc>
          <w:tcPr>
            <w:tcW w:w="4761" w:type="dxa"/>
            <w:vAlign w:val="center"/>
          </w:tcPr>
          <w:p>
            <w:pPr>
              <w:jc w:val="left"/>
              <w:rPr>
                <w:rFonts w:asciiTheme="minorEastAsia" w:hAnsiTheme="minorEastAsia"/>
                <w:sz w:val="18"/>
                <w:szCs w:val="18"/>
              </w:rPr>
            </w:pPr>
            <w:r>
              <w:rPr>
                <w:rFonts w:hint="eastAsia" w:asciiTheme="minorEastAsia" w:hAnsiTheme="minorEastAsia"/>
                <w:sz w:val="18"/>
                <w:szCs w:val="18"/>
              </w:rPr>
              <w:t>研究生英语、数量分析方法、会计研究方法、金融市场与金融工具、企业战略与风险管理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695" w:type="dxa"/>
            <w:vMerge w:val="restart"/>
            <w:vAlign w:val="center"/>
          </w:tcPr>
          <w:p>
            <w:pPr>
              <w:jc w:val="center"/>
              <w:rPr>
                <w:color w:val="000000"/>
                <w:sz w:val="18"/>
                <w:szCs w:val="18"/>
              </w:rPr>
            </w:pPr>
            <w:r>
              <w:rPr>
                <w:rFonts w:asciiTheme="minorEastAsia" w:hAnsiTheme="minorEastAsia"/>
                <w:b/>
                <w:sz w:val="18"/>
                <w:szCs w:val="18"/>
              </w:rPr>
              <w:t>研究方向</w:t>
            </w:r>
          </w:p>
        </w:tc>
        <w:tc>
          <w:tcPr>
            <w:tcW w:w="1308" w:type="dxa"/>
            <w:vAlign w:val="center"/>
          </w:tcPr>
          <w:p>
            <w:pPr>
              <w:rPr>
                <w:rFonts w:cs="宋体" w:asciiTheme="minorEastAsia" w:hAnsiTheme="minorEastAsia"/>
                <w:b/>
                <w:bCs/>
                <w:color w:val="000000"/>
                <w:sz w:val="18"/>
                <w:szCs w:val="18"/>
              </w:rPr>
            </w:pPr>
            <w:r>
              <w:rPr>
                <w:rFonts w:hint="eastAsia" w:cs="宋体" w:asciiTheme="minorEastAsia" w:hAnsiTheme="minorEastAsia"/>
                <w:b/>
                <w:bCs/>
                <w:color w:val="000000"/>
                <w:sz w:val="18"/>
                <w:szCs w:val="18"/>
              </w:rPr>
              <w:t>财务会计与信息披露</w:t>
            </w:r>
          </w:p>
        </w:tc>
        <w:tc>
          <w:tcPr>
            <w:tcW w:w="7513" w:type="dxa"/>
            <w:vAlign w:val="center"/>
          </w:tcPr>
          <w:p>
            <w:pPr>
              <w:ind w:firstLine="360" w:firstLineChars="200"/>
              <w:rPr>
                <w:rFonts w:cs="黑体" w:asciiTheme="minorEastAsia" w:hAnsiTheme="minorEastAsia"/>
                <w:color w:val="000000"/>
                <w:kern w:val="0"/>
                <w:sz w:val="18"/>
                <w:szCs w:val="18"/>
              </w:rPr>
            </w:pPr>
            <w:r>
              <w:rPr>
                <w:rFonts w:hint="eastAsia" w:cs="黑体" w:asciiTheme="minorEastAsia" w:hAnsiTheme="minorEastAsia"/>
                <w:color w:val="000000"/>
                <w:kern w:val="0"/>
                <w:sz w:val="18"/>
                <w:szCs w:val="18"/>
              </w:rPr>
              <w:t>本方向以公司治理、财务会计、审计学、内部控制等基本理论与方法为基础，根据国内外会计准则和财务报告准则的新要求，关注互联网背景下财务信息披露的新方式和渠道选择，培养具有完备财务会计知识基础，能够胜任大数据背景下企业财务会计工作，担当危机管理和舆情监控、投资者关系管理工作的应用型财务人员。</w:t>
            </w:r>
          </w:p>
        </w:tc>
        <w:tc>
          <w:tcPr>
            <w:tcW w:w="4761" w:type="dxa"/>
            <w:vAlign w:val="center"/>
          </w:tcPr>
          <w:p>
            <w:pPr>
              <w:jc w:val="left"/>
              <w:rPr>
                <w:rFonts w:asciiTheme="minorEastAsia" w:hAnsiTheme="minorEastAsia"/>
                <w:sz w:val="18"/>
                <w:szCs w:val="18"/>
              </w:rPr>
            </w:pPr>
            <w:r>
              <w:rPr>
                <w:rFonts w:hint="eastAsia" w:asciiTheme="minorEastAsia" w:hAnsiTheme="minorEastAsia"/>
                <w:sz w:val="18"/>
                <w:szCs w:val="18"/>
              </w:rPr>
              <w:t>高级财务会计理论与实务、高级审计理论与实务、企业会计准则专题、财务报表分析、企业税务筹划、内部控制与公司治理、资本运营与财务战略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695" w:type="dxa"/>
            <w:vMerge w:val="continue"/>
            <w:vAlign w:val="center"/>
          </w:tcPr>
          <w:p>
            <w:pPr>
              <w:jc w:val="center"/>
              <w:rPr>
                <w:color w:val="000000"/>
                <w:sz w:val="18"/>
                <w:szCs w:val="18"/>
              </w:rPr>
            </w:pPr>
          </w:p>
        </w:tc>
        <w:tc>
          <w:tcPr>
            <w:tcW w:w="1308" w:type="dxa"/>
            <w:vAlign w:val="center"/>
          </w:tcPr>
          <w:p>
            <w:pPr>
              <w:rPr>
                <w:rFonts w:cs="宋体" w:asciiTheme="minorEastAsia" w:hAnsiTheme="minorEastAsia"/>
                <w:b/>
                <w:bCs/>
                <w:color w:val="000000"/>
                <w:sz w:val="18"/>
                <w:szCs w:val="18"/>
              </w:rPr>
            </w:pPr>
            <w:r>
              <w:rPr>
                <w:rFonts w:hint="eastAsia" w:cs="宋体" w:asciiTheme="minorEastAsia" w:hAnsiTheme="minorEastAsia"/>
                <w:b/>
                <w:bCs/>
                <w:color w:val="000000"/>
                <w:sz w:val="18"/>
                <w:szCs w:val="18"/>
              </w:rPr>
              <w:t>财务管理与资本运营</w:t>
            </w:r>
          </w:p>
        </w:tc>
        <w:tc>
          <w:tcPr>
            <w:tcW w:w="7513" w:type="dxa"/>
            <w:vAlign w:val="center"/>
          </w:tcPr>
          <w:p>
            <w:pPr>
              <w:ind w:firstLine="360" w:firstLineChars="200"/>
              <w:rPr>
                <w:rFonts w:cs="黑体" w:asciiTheme="minorEastAsia" w:hAnsiTheme="minorEastAsia"/>
                <w:color w:val="000000"/>
                <w:kern w:val="0"/>
                <w:sz w:val="18"/>
                <w:szCs w:val="18"/>
              </w:rPr>
            </w:pPr>
            <w:r>
              <w:rPr>
                <w:rFonts w:hint="eastAsia" w:cs="黑体" w:asciiTheme="minorEastAsia" w:hAnsiTheme="minorEastAsia"/>
                <w:color w:val="000000"/>
                <w:kern w:val="0"/>
                <w:sz w:val="18"/>
                <w:szCs w:val="18"/>
              </w:rPr>
              <w:t>本方向培养具备综合能力和全面素质、丰富的金融理论知识和实务经验、能够进行企业投资、筹资、经营、分配等决策活动、能够进行企业项目评估、风险管理、财务战略规划和资本运营，从而提升企业核心竞争力的高级管理决策型专门人才。</w:t>
            </w:r>
          </w:p>
        </w:tc>
        <w:tc>
          <w:tcPr>
            <w:tcW w:w="4761" w:type="dxa"/>
            <w:vAlign w:val="center"/>
          </w:tcPr>
          <w:p>
            <w:pPr>
              <w:jc w:val="left"/>
              <w:rPr>
                <w:rFonts w:hint="default" w:asciiTheme="minorEastAsia" w:hAnsiTheme="minorEastAsia" w:eastAsiaTheme="minorEastAsia"/>
                <w:sz w:val="18"/>
                <w:szCs w:val="18"/>
                <w:lang w:val="en-US" w:eastAsia="zh-CN"/>
              </w:rPr>
            </w:pPr>
            <w:r>
              <w:rPr>
                <w:rFonts w:hint="eastAsia" w:asciiTheme="minorEastAsia" w:hAnsiTheme="minorEastAsia"/>
                <w:sz w:val="18"/>
                <w:szCs w:val="18"/>
              </w:rPr>
              <w:t>高级财务管理理论与实务、财务报表分析、企业税务筹划、资本营运与财务战略、企业并购与重组、金融科技、管理信息系统</w:t>
            </w:r>
            <w:r>
              <w:rPr>
                <w:rFonts w:hint="eastAsia" w:asciiTheme="minorEastAsia" w:hAnsiTheme="minorEastAsia"/>
                <w:sz w:val="18"/>
                <w:szCs w:val="18"/>
                <w:lang w:eastAsia="zh-CN"/>
              </w:rPr>
              <w:t>、</w:t>
            </w:r>
            <w:r>
              <w:rPr>
                <w:rFonts w:hint="eastAsia" w:asciiTheme="minorEastAsia" w:hAnsiTheme="minorEastAsia"/>
                <w:sz w:val="18"/>
                <w:szCs w:val="18"/>
                <w:lang w:val="en-US" w:eastAsia="zh-CN"/>
              </w:rPr>
              <w:t>资本市场与上市筹划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695" w:type="dxa"/>
            <w:vMerge w:val="continue"/>
            <w:vAlign w:val="center"/>
          </w:tcPr>
          <w:p>
            <w:pPr>
              <w:jc w:val="center"/>
              <w:rPr>
                <w:color w:val="000000"/>
                <w:sz w:val="18"/>
                <w:szCs w:val="18"/>
              </w:rPr>
            </w:pPr>
          </w:p>
        </w:tc>
        <w:tc>
          <w:tcPr>
            <w:tcW w:w="1308" w:type="dxa"/>
            <w:vAlign w:val="center"/>
          </w:tcPr>
          <w:p>
            <w:pPr>
              <w:rPr>
                <w:rFonts w:cs="宋体" w:asciiTheme="minorEastAsia" w:hAnsiTheme="minorEastAsia"/>
                <w:b/>
                <w:bCs/>
                <w:color w:val="000000"/>
                <w:sz w:val="18"/>
                <w:szCs w:val="18"/>
              </w:rPr>
            </w:pPr>
            <w:r>
              <w:rPr>
                <w:rFonts w:hint="eastAsia" w:cs="宋体" w:asciiTheme="minorEastAsia" w:hAnsiTheme="minorEastAsia"/>
                <w:b/>
                <w:bCs/>
                <w:color w:val="000000"/>
                <w:sz w:val="18"/>
                <w:szCs w:val="18"/>
              </w:rPr>
              <w:t>智能会计与智慧决策</w:t>
            </w:r>
          </w:p>
        </w:tc>
        <w:tc>
          <w:tcPr>
            <w:tcW w:w="7513" w:type="dxa"/>
            <w:vAlign w:val="center"/>
          </w:tcPr>
          <w:p>
            <w:pPr>
              <w:ind w:firstLine="360" w:firstLineChars="200"/>
              <w:rPr>
                <w:rFonts w:cs="黑体" w:asciiTheme="minorEastAsia" w:hAnsiTheme="minorEastAsia"/>
                <w:color w:val="000000"/>
                <w:kern w:val="0"/>
                <w:sz w:val="18"/>
                <w:szCs w:val="18"/>
              </w:rPr>
            </w:pPr>
            <w:r>
              <w:rPr>
                <w:rFonts w:hint="eastAsia" w:cs="黑体" w:asciiTheme="minorEastAsia" w:hAnsiTheme="minorEastAsia"/>
                <w:color w:val="000000"/>
                <w:kern w:val="0"/>
                <w:sz w:val="18"/>
                <w:szCs w:val="18"/>
              </w:rPr>
              <w:t>本方向培养具备综合能力和全面素质的、能够将新一代信息技术灵活应用于企业会计核算和监督、智慧审计、智能决策支持等业务，为公司的经营决策、投资决策和筹资决策等及时提供相关信息，从而增加企业价值的高级管理决策型专门人才。</w:t>
            </w:r>
          </w:p>
        </w:tc>
        <w:tc>
          <w:tcPr>
            <w:tcW w:w="4761" w:type="dxa"/>
            <w:vAlign w:val="center"/>
          </w:tcPr>
          <w:p>
            <w:pPr>
              <w:jc w:val="left"/>
              <w:rPr>
                <w:rFonts w:hint="default" w:asciiTheme="minorEastAsia" w:hAnsiTheme="minorEastAsia" w:eastAsiaTheme="minorEastAsia"/>
                <w:sz w:val="18"/>
                <w:szCs w:val="18"/>
                <w:lang w:val="en-US" w:eastAsia="zh-CN"/>
              </w:rPr>
            </w:pPr>
            <w:r>
              <w:rPr>
                <w:rFonts w:hint="eastAsia" w:asciiTheme="minorEastAsia" w:hAnsiTheme="minorEastAsia"/>
                <w:sz w:val="18"/>
                <w:szCs w:val="18"/>
              </w:rPr>
              <w:t>高级财务会计理论与实务、高级管理会计理论与实务、高级成本会计、高级审计理论与实务、智能</w:t>
            </w:r>
            <w:r>
              <w:rPr>
                <w:rFonts w:hint="eastAsia" w:asciiTheme="minorEastAsia" w:hAnsiTheme="minorEastAsia"/>
                <w:sz w:val="18"/>
                <w:szCs w:val="18"/>
                <w:lang w:val="en-US" w:eastAsia="zh-CN"/>
              </w:rPr>
              <w:t>财务基础</w:t>
            </w:r>
            <w:r>
              <w:rPr>
                <w:rFonts w:hint="eastAsia" w:asciiTheme="minorEastAsia" w:hAnsiTheme="minorEastAsia"/>
                <w:sz w:val="18"/>
                <w:szCs w:val="18"/>
              </w:rPr>
              <w:t>、</w:t>
            </w:r>
            <w:r>
              <w:rPr>
                <w:rFonts w:hint="eastAsia" w:asciiTheme="minorEastAsia" w:hAnsiTheme="minorEastAsia"/>
                <w:sz w:val="18"/>
                <w:szCs w:val="18"/>
                <w:lang w:val="en-US" w:eastAsia="zh-CN"/>
              </w:rPr>
              <w:t>RPA财务机器人应用、数智化</w:t>
            </w:r>
            <w:r>
              <w:rPr>
                <w:rFonts w:hint="eastAsia" w:asciiTheme="minorEastAsia" w:hAnsiTheme="minorEastAsia"/>
                <w:sz w:val="18"/>
                <w:szCs w:val="18"/>
              </w:rPr>
              <w:t>审计、财务共享</w:t>
            </w:r>
            <w:r>
              <w:rPr>
                <w:rFonts w:hint="eastAsia" w:asciiTheme="minorEastAsia" w:hAnsiTheme="minorEastAsia"/>
                <w:sz w:val="18"/>
                <w:szCs w:val="18"/>
                <w:lang w:val="en-US" w:eastAsia="zh-CN"/>
              </w:rPr>
              <w:t>理论与实务</w:t>
            </w:r>
            <w:r>
              <w:rPr>
                <w:rFonts w:hint="eastAsia" w:asciiTheme="minorEastAsia" w:hAnsiTheme="minorEastAsia"/>
                <w:sz w:val="18"/>
                <w:szCs w:val="18"/>
              </w:rPr>
              <w:t>、管理信息系统</w:t>
            </w:r>
            <w:r>
              <w:rPr>
                <w:rFonts w:hint="eastAsia" w:asciiTheme="minorEastAsia" w:hAnsiTheme="minorEastAsia"/>
                <w:sz w:val="18"/>
                <w:szCs w:val="18"/>
                <w:lang w:eastAsia="zh-CN"/>
              </w:rPr>
              <w:t>、</w:t>
            </w:r>
            <w:r>
              <w:rPr>
                <w:rFonts w:hint="eastAsia" w:asciiTheme="minorEastAsia" w:hAnsiTheme="minorEastAsia"/>
                <w:sz w:val="18"/>
                <w:szCs w:val="18"/>
                <w:lang w:val="en-US" w:eastAsia="zh-CN"/>
              </w:rPr>
              <w:t>大数据财务分析与决策</w:t>
            </w:r>
          </w:p>
        </w:tc>
      </w:tr>
    </w:tbl>
    <w:p>
      <w:pPr>
        <w:rPr>
          <w:szCs w:val="28"/>
        </w:rPr>
        <w:sectPr>
          <w:footerReference r:id="rId3" w:type="default"/>
          <w:pgSz w:w="16838" w:h="11906" w:orient="landscape"/>
          <w:pgMar w:top="1797" w:right="1440" w:bottom="1797" w:left="1440" w:header="851" w:footer="992" w:gutter="0"/>
          <w:cols w:space="425" w:num="1"/>
          <w:docGrid w:type="linesAndChars" w:linePitch="312" w:charSpace="0"/>
        </w:sectPr>
      </w:pPr>
    </w:p>
    <w:p>
      <w:pPr>
        <w:pStyle w:val="5"/>
        <w:spacing w:before="156" w:beforeLines="50" w:after="156" w:afterLines="50"/>
        <w:ind w:firstLine="562"/>
        <w:rPr>
          <w:rFonts w:ascii="黑体" w:hAnsi="黑体" w:eastAsia="黑体"/>
          <w:b/>
          <w:color w:val="000000"/>
          <w:szCs w:val="28"/>
        </w:rPr>
      </w:pPr>
      <w:r>
        <w:rPr>
          <w:rFonts w:ascii="黑体" w:hAnsi="黑体" w:eastAsia="黑体"/>
          <w:b/>
          <w:color w:val="000000"/>
          <w:szCs w:val="28"/>
        </w:rPr>
        <w:t>附表2：</w:t>
      </w:r>
      <w:r>
        <w:rPr>
          <w:rFonts w:hint="eastAsia" w:ascii="黑体" w:hAnsi="黑体" w:eastAsia="黑体"/>
          <w:b/>
          <w:color w:val="000000"/>
          <w:szCs w:val="28"/>
        </w:rPr>
        <w:t>培养计划</w:t>
      </w:r>
    </w:p>
    <w:tbl>
      <w:tblPr>
        <w:tblStyle w:val="12"/>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83"/>
        <w:gridCol w:w="136"/>
        <w:gridCol w:w="875"/>
        <w:gridCol w:w="2365"/>
        <w:gridCol w:w="98"/>
        <w:gridCol w:w="1955"/>
        <w:gridCol w:w="162"/>
        <w:gridCol w:w="671"/>
        <w:gridCol w:w="513"/>
        <w:gridCol w:w="514"/>
        <w:gridCol w:w="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70" w:type="dxa"/>
            <w:gridSpan w:val="3"/>
            <w:vAlign w:val="center"/>
          </w:tcPr>
          <w:p>
            <w:pPr>
              <w:jc w:val="center"/>
              <w:rPr>
                <w:rFonts w:ascii="宋体" w:hAnsi="宋体" w:eastAsia="宋体" w:cs="宋体"/>
                <w:b/>
                <w:kern w:val="0"/>
                <w:sz w:val="18"/>
                <w:szCs w:val="18"/>
              </w:rPr>
            </w:pPr>
            <w:r>
              <w:rPr>
                <w:rFonts w:hint="eastAsia" w:ascii="宋体" w:hAnsi="宋体" w:eastAsia="宋体" w:cs="宋体"/>
                <w:b/>
                <w:kern w:val="0"/>
                <w:sz w:val="18"/>
                <w:szCs w:val="18"/>
              </w:rPr>
              <w:t>类别名称</w:t>
            </w:r>
          </w:p>
        </w:tc>
        <w:tc>
          <w:tcPr>
            <w:tcW w:w="3338" w:type="dxa"/>
            <w:gridSpan w:val="3"/>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会计</w:t>
            </w:r>
          </w:p>
        </w:tc>
        <w:tc>
          <w:tcPr>
            <w:tcW w:w="1955" w:type="dxa"/>
            <w:vAlign w:val="center"/>
          </w:tcPr>
          <w:p>
            <w:pPr>
              <w:jc w:val="center"/>
              <w:rPr>
                <w:rFonts w:ascii="宋体" w:hAnsi="宋体" w:eastAsia="宋体" w:cs="宋体"/>
                <w:b/>
                <w:kern w:val="0"/>
                <w:sz w:val="18"/>
                <w:szCs w:val="18"/>
              </w:rPr>
            </w:pPr>
            <w:r>
              <w:rPr>
                <w:rFonts w:hint="eastAsia" w:ascii="宋体" w:hAnsi="宋体" w:eastAsia="宋体" w:cs="宋体"/>
                <w:b/>
                <w:kern w:val="0"/>
                <w:sz w:val="18"/>
                <w:szCs w:val="18"/>
              </w:rPr>
              <w:t>类别代码</w:t>
            </w:r>
          </w:p>
        </w:tc>
        <w:tc>
          <w:tcPr>
            <w:tcW w:w="2494" w:type="dxa"/>
            <w:gridSpan w:val="5"/>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570" w:type="dxa"/>
            <w:gridSpan w:val="3"/>
            <w:vAlign w:val="center"/>
          </w:tcPr>
          <w:p>
            <w:pPr>
              <w:jc w:val="center"/>
              <w:rPr>
                <w:rFonts w:ascii="宋体" w:hAnsi="宋体" w:eastAsia="宋体" w:cs="宋体"/>
                <w:b/>
                <w:kern w:val="0"/>
                <w:sz w:val="18"/>
                <w:szCs w:val="18"/>
              </w:rPr>
            </w:pPr>
            <w:r>
              <w:rPr>
                <w:rFonts w:hint="eastAsia" w:ascii="宋体" w:hAnsi="宋体" w:eastAsia="宋体" w:cs="宋体"/>
                <w:b/>
                <w:kern w:val="0"/>
                <w:sz w:val="18"/>
                <w:szCs w:val="18"/>
              </w:rPr>
              <w:t>单位名称</w:t>
            </w:r>
          </w:p>
        </w:tc>
        <w:tc>
          <w:tcPr>
            <w:tcW w:w="3338" w:type="dxa"/>
            <w:gridSpan w:val="3"/>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管理学院</w:t>
            </w:r>
          </w:p>
        </w:tc>
        <w:tc>
          <w:tcPr>
            <w:tcW w:w="1955" w:type="dxa"/>
            <w:vAlign w:val="center"/>
          </w:tcPr>
          <w:p>
            <w:pPr>
              <w:jc w:val="center"/>
              <w:rPr>
                <w:rFonts w:ascii="宋体" w:hAnsi="宋体" w:eastAsia="宋体" w:cs="宋体"/>
                <w:b/>
                <w:kern w:val="0"/>
                <w:sz w:val="18"/>
                <w:szCs w:val="18"/>
              </w:rPr>
            </w:pPr>
            <w:r>
              <w:rPr>
                <w:rFonts w:hint="eastAsia" w:ascii="宋体" w:hAnsi="宋体" w:eastAsia="宋体" w:cs="宋体"/>
                <w:b/>
                <w:kern w:val="0"/>
                <w:sz w:val="18"/>
                <w:szCs w:val="18"/>
              </w:rPr>
              <w:t>培养类型</w:t>
            </w:r>
          </w:p>
        </w:tc>
        <w:tc>
          <w:tcPr>
            <w:tcW w:w="2494" w:type="dxa"/>
            <w:gridSpan w:val="5"/>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全日制专业学位硕士</w:t>
            </w:r>
            <w:r>
              <w:rPr>
                <w:rFonts w:hint="eastAsia" w:ascii="宋体" w:hAnsi="宋体" w:eastAsia="宋体" w:cs="宋体"/>
                <w:kern w:val="0"/>
                <w:sz w:val="18"/>
                <w:szCs w:val="18"/>
                <w:lang w:val="en-US" w:eastAsia="zh-CN"/>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70" w:type="dxa"/>
            <w:gridSpan w:val="3"/>
            <w:vAlign w:val="center"/>
          </w:tcPr>
          <w:p>
            <w:pPr>
              <w:jc w:val="center"/>
              <w:rPr>
                <w:rFonts w:ascii="宋体" w:hAnsi="宋体" w:eastAsia="宋体" w:cs="宋体"/>
                <w:b/>
                <w:kern w:val="0"/>
                <w:sz w:val="18"/>
                <w:szCs w:val="18"/>
              </w:rPr>
            </w:pPr>
            <w:r>
              <w:rPr>
                <w:rFonts w:hint="eastAsia" w:ascii="宋体" w:hAnsi="宋体" w:eastAsia="宋体" w:cs="宋体"/>
                <w:b/>
                <w:kern w:val="0"/>
                <w:sz w:val="18"/>
                <w:szCs w:val="18"/>
              </w:rPr>
              <w:t>学分要求</w:t>
            </w:r>
          </w:p>
        </w:tc>
        <w:tc>
          <w:tcPr>
            <w:tcW w:w="7787" w:type="dxa"/>
            <w:gridSpan w:val="9"/>
            <w:vAlign w:val="center"/>
          </w:tcPr>
          <w:p>
            <w:pPr>
              <w:jc w:val="left"/>
              <w:rPr>
                <w:rFonts w:ascii="宋体" w:hAnsi="宋体" w:eastAsia="宋体" w:cs="宋体"/>
                <w:kern w:val="0"/>
                <w:sz w:val="18"/>
                <w:szCs w:val="18"/>
              </w:rPr>
            </w:pPr>
            <w:r>
              <w:rPr>
                <w:rFonts w:hint="eastAsia" w:ascii="宋体" w:hAnsi="宋体" w:eastAsia="宋体" w:cs="宋体"/>
                <w:kern w:val="0"/>
                <w:sz w:val="18"/>
                <w:szCs w:val="18"/>
                <w:highlight w:val="yellow"/>
              </w:rPr>
              <w:t>总学分：</w:t>
            </w:r>
            <w:r>
              <w:rPr>
                <w:rFonts w:hint="eastAsia" w:ascii="宋体" w:hAnsi="宋体" w:eastAsia="宋体" w:cs="宋体"/>
                <w:kern w:val="0"/>
                <w:sz w:val="18"/>
                <w:szCs w:val="18"/>
                <w:highlight w:val="yellow"/>
                <w:lang w:val="en-US" w:eastAsia="zh-CN"/>
              </w:rPr>
              <w:t>智能会计与智慧决策方向51，其他方向45</w:t>
            </w:r>
            <w:r>
              <w:rPr>
                <w:rFonts w:hint="eastAsia" w:ascii="宋体" w:hAnsi="宋体" w:eastAsia="宋体" w:cs="宋体"/>
                <w:kern w:val="0"/>
                <w:sz w:val="18"/>
                <w:szCs w:val="18"/>
                <w:highlight w:val="yellow"/>
              </w:rPr>
              <w:t xml:space="preserve"> ，</w:t>
            </w:r>
            <w:r>
              <w:rPr>
                <w:rFonts w:hint="eastAsia" w:ascii="宋体" w:hAnsi="宋体" w:eastAsia="宋体" w:cs="宋体"/>
                <w:kern w:val="0"/>
                <w:sz w:val="18"/>
                <w:szCs w:val="18"/>
                <w:highlight w:val="yellow"/>
                <w:lang w:val="en-US" w:eastAsia="zh-CN"/>
              </w:rPr>
              <w:t>其中，</w:t>
            </w:r>
            <w:r>
              <w:rPr>
                <w:rFonts w:hint="eastAsia" w:ascii="宋体" w:hAnsi="宋体" w:eastAsia="宋体" w:cs="宋体"/>
                <w:kern w:val="0"/>
                <w:sz w:val="18"/>
                <w:szCs w:val="18"/>
                <w:highlight w:val="yellow"/>
              </w:rPr>
              <w:t>必修课程学分：</w:t>
            </w:r>
            <w:r>
              <w:rPr>
                <w:rFonts w:hint="eastAsia" w:ascii="宋体" w:hAnsi="宋体" w:eastAsia="宋体" w:cs="宋体"/>
                <w:kern w:val="0"/>
                <w:sz w:val="18"/>
                <w:szCs w:val="18"/>
                <w:highlight w:val="yellow"/>
                <w:lang w:val="en-US" w:eastAsia="zh-CN"/>
              </w:rPr>
              <w:t>智能会计与智慧决策方向26，其他方向</w:t>
            </w:r>
            <w:r>
              <w:rPr>
                <w:rFonts w:hint="eastAsia" w:ascii="宋体" w:hAnsi="宋体" w:eastAsia="宋体" w:cs="宋体"/>
                <w:kern w:val="0"/>
                <w:sz w:val="18"/>
                <w:szCs w:val="18"/>
                <w:highlight w:val="yellow"/>
              </w:rPr>
              <w:t>2</w:t>
            </w:r>
            <w:r>
              <w:rPr>
                <w:rFonts w:hint="eastAsia" w:ascii="宋体" w:hAnsi="宋体" w:eastAsia="宋体" w:cs="宋体"/>
                <w:kern w:val="0"/>
                <w:sz w:val="18"/>
                <w:szCs w:val="18"/>
                <w:highlight w:val="yellow"/>
                <w:lang w:val="en-US" w:eastAsia="zh-CN"/>
              </w:rPr>
              <w:t>0；</w:t>
            </w:r>
            <w:r>
              <w:rPr>
                <w:rFonts w:hint="eastAsia" w:ascii="宋体" w:hAnsi="宋体" w:eastAsia="宋体" w:cs="宋体"/>
                <w:kern w:val="0"/>
                <w:sz w:val="18"/>
                <w:szCs w:val="18"/>
                <w:highlight w:val="yellow"/>
              </w:rPr>
              <w:t>选修课程学分：1</w:t>
            </w:r>
            <w:r>
              <w:rPr>
                <w:rFonts w:hint="eastAsia" w:ascii="宋体" w:hAnsi="宋体" w:eastAsia="宋体" w:cs="宋体"/>
                <w:kern w:val="0"/>
                <w:sz w:val="18"/>
                <w:szCs w:val="18"/>
                <w:highlight w:val="yellow"/>
                <w:lang w:val="en-US" w:eastAsia="zh-CN"/>
              </w:rPr>
              <w:t>2</w:t>
            </w:r>
            <w:r>
              <w:rPr>
                <w:rFonts w:hint="eastAsia" w:ascii="宋体" w:hAnsi="宋体" w:eastAsia="宋体" w:cs="宋体"/>
                <w:kern w:val="0"/>
                <w:sz w:val="18"/>
                <w:szCs w:val="18"/>
                <w:highlight w:val="yellow"/>
              </w:rPr>
              <w:t xml:space="preserve"> </w:t>
            </w:r>
            <w:r>
              <w:rPr>
                <w:rFonts w:hint="eastAsia" w:ascii="宋体" w:hAnsi="宋体" w:eastAsia="宋体" w:cs="宋体"/>
                <w:kern w:val="0"/>
                <w:sz w:val="18"/>
                <w:szCs w:val="18"/>
                <w:highlight w:val="yellow"/>
                <w:lang w:eastAsia="zh-CN"/>
              </w:rPr>
              <w:t>；</w:t>
            </w:r>
            <w:r>
              <w:rPr>
                <w:rFonts w:hint="eastAsia" w:ascii="宋体" w:hAnsi="宋体" w:eastAsia="宋体" w:cs="宋体"/>
                <w:kern w:val="0"/>
                <w:sz w:val="18"/>
                <w:szCs w:val="18"/>
                <w:highlight w:val="yellow"/>
              </w:rPr>
              <w:t>其他学分：1</w:t>
            </w:r>
            <w:r>
              <w:rPr>
                <w:rFonts w:hint="eastAsia" w:ascii="宋体" w:hAnsi="宋体" w:eastAsia="宋体" w:cs="宋体"/>
                <w:kern w:val="0"/>
                <w:sz w:val="18"/>
                <w:szCs w:val="18"/>
                <w:highlight w:val="yellow"/>
                <w:lang w:val="en-US" w:eastAsia="zh-CN"/>
              </w:rPr>
              <w:t>3</w:t>
            </w:r>
            <w:r>
              <w:rPr>
                <w:rFonts w:hint="eastAsia" w:ascii="宋体" w:hAnsi="宋体" w:eastAsia="宋体" w:cs="宋体"/>
                <w:kern w:val="0"/>
                <w:sz w:val="18"/>
                <w:szCs w:val="18"/>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357" w:type="dxa"/>
            <w:gridSpan w:val="12"/>
            <w:vAlign w:val="center"/>
          </w:tcPr>
          <w:p>
            <w:pPr>
              <w:pStyle w:val="5"/>
              <w:spacing w:line="240" w:lineRule="auto"/>
              <w:ind w:firstLine="361"/>
              <w:jc w:val="center"/>
              <w:rPr>
                <w:rFonts w:cs="宋体"/>
                <w:b/>
                <w:color w:val="000000"/>
                <w:kern w:val="0"/>
                <w:sz w:val="18"/>
                <w:szCs w:val="18"/>
              </w:rPr>
            </w:pPr>
            <w:r>
              <w:rPr>
                <w:rFonts w:hint="eastAsia" w:cs="宋体"/>
                <w:b/>
                <w:color w:val="000000"/>
                <w:kern w:val="0"/>
                <w:sz w:val="18"/>
                <w:szCs w:val="18"/>
              </w:rPr>
              <w:t>课 程 设 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Align w:val="center"/>
          </w:tcPr>
          <w:p>
            <w:pPr>
              <w:pStyle w:val="5"/>
              <w:spacing w:line="240" w:lineRule="auto"/>
              <w:ind w:firstLine="0" w:firstLineChars="0"/>
              <w:jc w:val="center"/>
              <w:rPr>
                <w:rFonts w:cs="宋体"/>
                <w:b/>
                <w:color w:val="000000"/>
                <w:kern w:val="0"/>
                <w:sz w:val="18"/>
                <w:szCs w:val="18"/>
              </w:rPr>
            </w:pPr>
            <w:r>
              <w:rPr>
                <w:rFonts w:hint="eastAsia" w:cs="宋体"/>
                <w:b/>
                <w:color w:val="000000"/>
                <w:kern w:val="0"/>
                <w:sz w:val="18"/>
                <w:szCs w:val="18"/>
              </w:rPr>
              <w:t>课程类型</w:t>
            </w:r>
          </w:p>
        </w:tc>
        <w:tc>
          <w:tcPr>
            <w:tcW w:w="1011" w:type="dxa"/>
            <w:gridSpan w:val="2"/>
            <w:vAlign w:val="center"/>
          </w:tcPr>
          <w:p>
            <w:pPr>
              <w:pStyle w:val="5"/>
              <w:spacing w:line="240" w:lineRule="auto"/>
              <w:ind w:firstLine="0" w:firstLineChars="0"/>
              <w:jc w:val="center"/>
              <w:rPr>
                <w:rFonts w:cs="宋体"/>
                <w:b/>
                <w:color w:val="000000"/>
                <w:kern w:val="0"/>
                <w:sz w:val="18"/>
                <w:szCs w:val="18"/>
              </w:rPr>
            </w:pPr>
            <w:r>
              <w:rPr>
                <w:rFonts w:hint="eastAsia" w:cs="宋体"/>
                <w:b/>
                <w:color w:val="000000"/>
                <w:kern w:val="0"/>
                <w:sz w:val="18"/>
                <w:szCs w:val="18"/>
              </w:rPr>
              <w:t>课程编码</w:t>
            </w:r>
          </w:p>
        </w:tc>
        <w:tc>
          <w:tcPr>
            <w:tcW w:w="5251" w:type="dxa"/>
            <w:gridSpan w:val="5"/>
            <w:vAlign w:val="center"/>
          </w:tcPr>
          <w:p>
            <w:pPr>
              <w:pStyle w:val="5"/>
              <w:spacing w:line="240" w:lineRule="auto"/>
              <w:ind w:firstLine="361"/>
              <w:jc w:val="center"/>
              <w:rPr>
                <w:rFonts w:cs="宋体"/>
                <w:b/>
                <w:color w:val="000000"/>
                <w:kern w:val="0"/>
                <w:sz w:val="18"/>
                <w:szCs w:val="18"/>
              </w:rPr>
            </w:pPr>
            <w:r>
              <w:rPr>
                <w:rFonts w:hint="eastAsia" w:cs="宋体"/>
                <w:b/>
                <w:color w:val="000000"/>
                <w:kern w:val="0"/>
                <w:sz w:val="18"/>
                <w:szCs w:val="18"/>
              </w:rPr>
              <w:t>课程名称</w:t>
            </w:r>
          </w:p>
        </w:tc>
        <w:tc>
          <w:tcPr>
            <w:tcW w:w="513" w:type="dxa"/>
            <w:vAlign w:val="center"/>
          </w:tcPr>
          <w:p>
            <w:pPr>
              <w:pStyle w:val="5"/>
              <w:spacing w:line="240" w:lineRule="auto"/>
              <w:ind w:firstLine="0" w:firstLineChars="0"/>
              <w:rPr>
                <w:rFonts w:cs="宋体"/>
                <w:b/>
                <w:color w:val="000000"/>
                <w:kern w:val="0"/>
                <w:sz w:val="18"/>
                <w:szCs w:val="18"/>
              </w:rPr>
            </w:pPr>
            <w:r>
              <w:rPr>
                <w:rFonts w:hint="eastAsia" w:cs="宋体"/>
                <w:b/>
                <w:color w:val="000000"/>
                <w:kern w:val="0"/>
                <w:sz w:val="18"/>
                <w:szCs w:val="18"/>
              </w:rPr>
              <w:t>学分</w:t>
            </w:r>
          </w:p>
        </w:tc>
        <w:tc>
          <w:tcPr>
            <w:tcW w:w="514" w:type="dxa"/>
            <w:vAlign w:val="center"/>
          </w:tcPr>
          <w:p>
            <w:pPr>
              <w:pStyle w:val="5"/>
              <w:spacing w:line="240" w:lineRule="auto"/>
              <w:ind w:firstLine="0" w:firstLineChars="0"/>
              <w:rPr>
                <w:rFonts w:cs="宋体"/>
                <w:b/>
                <w:color w:val="000000"/>
                <w:kern w:val="0"/>
                <w:sz w:val="18"/>
                <w:szCs w:val="18"/>
              </w:rPr>
            </w:pPr>
            <w:r>
              <w:rPr>
                <w:rFonts w:hint="eastAsia" w:cs="宋体"/>
                <w:b/>
                <w:color w:val="000000"/>
                <w:kern w:val="0"/>
                <w:sz w:val="18"/>
                <w:szCs w:val="18"/>
              </w:rPr>
              <w:t>学期</w:t>
            </w:r>
          </w:p>
        </w:tc>
        <w:tc>
          <w:tcPr>
            <w:tcW w:w="634" w:type="dxa"/>
            <w:vAlign w:val="center"/>
          </w:tcPr>
          <w:p>
            <w:pPr>
              <w:pStyle w:val="5"/>
              <w:spacing w:line="240" w:lineRule="auto"/>
              <w:ind w:firstLine="0" w:firstLineChars="0"/>
              <w:rPr>
                <w:rFonts w:cs="宋体"/>
                <w:b/>
                <w:color w:val="000000"/>
                <w:kern w:val="0"/>
                <w:sz w:val="18"/>
                <w:szCs w:val="18"/>
              </w:rPr>
            </w:pPr>
            <w:r>
              <w:rPr>
                <w:rFonts w:hint="eastAsia" w:cs="宋体"/>
                <w:b/>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restart"/>
            <w:vAlign w:val="center"/>
          </w:tcPr>
          <w:p>
            <w:pPr>
              <w:pStyle w:val="5"/>
              <w:spacing w:line="240" w:lineRule="auto"/>
              <w:ind w:firstLine="0" w:firstLineChars="0"/>
              <w:jc w:val="center"/>
              <w:rPr>
                <w:rFonts w:cs="宋体"/>
                <w:b/>
                <w:color w:val="000000"/>
                <w:kern w:val="0"/>
                <w:sz w:val="18"/>
                <w:szCs w:val="18"/>
              </w:rPr>
            </w:pPr>
            <w:r>
              <w:rPr>
                <w:rFonts w:hint="eastAsia" w:cs="宋体"/>
                <w:b/>
                <w:color w:val="000000"/>
                <w:kern w:val="0"/>
                <w:sz w:val="18"/>
                <w:szCs w:val="18"/>
              </w:rPr>
              <w:t>公共必修课程</w:t>
            </w:r>
          </w:p>
          <w:p>
            <w:pPr>
              <w:pStyle w:val="5"/>
              <w:spacing w:line="240" w:lineRule="auto"/>
              <w:ind w:firstLine="0" w:firstLineChars="0"/>
              <w:jc w:val="center"/>
              <w:rPr>
                <w:rFonts w:cs="宋体"/>
                <w:b/>
                <w:color w:val="000000"/>
                <w:kern w:val="0"/>
                <w:sz w:val="18"/>
                <w:szCs w:val="18"/>
              </w:rPr>
            </w:pPr>
            <w:r>
              <w:rPr>
                <w:rFonts w:hint="eastAsia" w:cs="宋体"/>
                <w:kern w:val="0"/>
                <w:sz w:val="18"/>
                <w:szCs w:val="18"/>
              </w:rPr>
              <w:t>（</w:t>
            </w:r>
            <w:r>
              <w:rPr>
                <w:rFonts w:hint="eastAsia" w:cs="宋体"/>
                <w:kern w:val="0"/>
                <w:sz w:val="18"/>
                <w:szCs w:val="18"/>
                <w:lang w:val="en-US" w:eastAsia="zh-CN"/>
              </w:rPr>
              <w:t>6</w:t>
            </w:r>
            <w:r>
              <w:rPr>
                <w:rFonts w:hint="eastAsia" w:cs="宋体"/>
                <w:kern w:val="0"/>
                <w:sz w:val="18"/>
                <w:szCs w:val="18"/>
              </w:rPr>
              <w:t>学分）</w:t>
            </w: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G16007</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新时代中国特色社会主义理论与实践</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Research on the Theory and Practice of Socialism with Chinese Characteristics</w:t>
            </w:r>
          </w:p>
        </w:tc>
        <w:tc>
          <w:tcPr>
            <w:tcW w:w="513" w:type="dxa"/>
            <w:vAlign w:val="center"/>
          </w:tcPr>
          <w:p>
            <w:pPr>
              <w:pStyle w:val="5"/>
              <w:spacing w:line="240" w:lineRule="auto"/>
              <w:ind w:firstLine="0" w:firstLineChars="0"/>
              <w:jc w:val="center"/>
              <w:rPr>
                <w:rFonts w:cs="宋体"/>
                <w:color w:val="000000"/>
                <w:kern w:val="0"/>
                <w:sz w:val="18"/>
                <w:szCs w:val="18"/>
              </w:rPr>
            </w:pPr>
            <w:r>
              <w:rPr>
                <w:rFonts w:hint="eastAsia" w:cs="宋体"/>
                <w:color w:val="000000"/>
                <w:kern w:val="0"/>
                <w:sz w:val="18"/>
                <w:szCs w:val="18"/>
              </w:rPr>
              <w:t>2</w:t>
            </w:r>
          </w:p>
        </w:tc>
        <w:tc>
          <w:tcPr>
            <w:tcW w:w="514" w:type="dxa"/>
            <w:vAlign w:val="center"/>
          </w:tcPr>
          <w:p>
            <w:pPr>
              <w:pStyle w:val="5"/>
              <w:spacing w:line="240" w:lineRule="auto"/>
              <w:ind w:firstLine="0" w:firstLineChars="0"/>
              <w:jc w:val="center"/>
              <w:rPr>
                <w:rFonts w:cs="宋体"/>
                <w:color w:val="000000"/>
                <w:kern w:val="0"/>
                <w:sz w:val="18"/>
                <w:szCs w:val="18"/>
              </w:rPr>
            </w:pPr>
            <w:r>
              <w:rPr>
                <w:rFonts w:hint="eastAsia" w:cs="宋体"/>
                <w:color w:val="000000"/>
                <w:kern w:val="0"/>
                <w:sz w:val="18"/>
                <w:szCs w:val="18"/>
              </w:rPr>
              <w:t>1</w:t>
            </w:r>
          </w:p>
        </w:tc>
        <w:tc>
          <w:tcPr>
            <w:tcW w:w="634" w:type="dxa"/>
            <w:vMerge w:val="restart"/>
          </w:tcPr>
          <w:p>
            <w:pPr>
              <w:pStyle w:val="5"/>
              <w:spacing w:line="240" w:lineRule="auto"/>
              <w:ind w:firstLine="361"/>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vAlign w:val="center"/>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G16001</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马克思主义与社会科学方法论</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Marxism and Social Science Methodology</w:t>
            </w:r>
          </w:p>
        </w:tc>
        <w:tc>
          <w:tcPr>
            <w:tcW w:w="513" w:type="dxa"/>
            <w:vAlign w:val="center"/>
          </w:tcPr>
          <w:p>
            <w:pPr>
              <w:pStyle w:val="5"/>
              <w:spacing w:line="240" w:lineRule="auto"/>
              <w:ind w:firstLine="0" w:firstLineChars="0"/>
              <w:jc w:val="center"/>
              <w:rPr>
                <w:rFonts w:cs="宋体"/>
                <w:color w:val="000000"/>
                <w:kern w:val="0"/>
                <w:sz w:val="18"/>
                <w:szCs w:val="18"/>
              </w:rPr>
            </w:pPr>
            <w:r>
              <w:rPr>
                <w:rFonts w:hint="eastAsia" w:cs="宋体"/>
                <w:color w:val="000000"/>
                <w:kern w:val="0"/>
                <w:sz w:val="18"/>
                <w:szCs w:val="18"/>
              </w:rPr>
              <w:t>1</w:t>
            </w:r>
          </w:p>
        </w:tc>
        <w:tc>
          <w:tcPr>
            <w:tcW w:w="514" w:type="dxa"/>
            <w:vAlign w:val="center"/>
          </w:tcPr>
          <w:p>
            <w:pPr>
              <w:pStyle w:val="5"/>
              <w:spacing w:line="240" w:lineRule="auto"/>
              <w:ind w:firstLine="0" w:firstLineChars="0"/>
              <w:jc w:val="center"/>
              <w:rPr>
                <w:rFonts w:cs="宋体"/>
                <w:color w:val="000000"/>
                <w:kern w:val="0"/>
                <w:sz w:val="18"/>
                <w:szCs w:val="18"/>
              </w:rPr>
            </w:pPr>
            <w:r>
              <w:rPr>
                <w:rFonts w:hint="eastAsia" w:cs="宋体"/>
                <w:color w:val="000000"/>
                <w:kern w:val="0"/>
                <w:sz w:val="18"/>
                <w:szCs w:val="18"/>
              </w:rPr>
              <w:t>1</w:t>
            </w:r>
          </w:p>
        </w:tc>
        <w:tc>
          <w:tcPr>
            <w:tcW w:w="634" w:type="dxa"/>
            <w:vMerge w:val="continue"/>
          </w:tcPr>
          <w:p>
            <w:pPr>
              <w:pStyle w:val="5"/>
              <w:spacing w:line="240" w:lineRule="auto"/>
              <w:ind w:firstLine="361"/>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vAlign w:val="center"/>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G14001</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研究生英语</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English for Graduate Students</w:t>
            </w:r>
          </w:p>
        </w:tc>
        <w:tc>
          <w:tcPr>
            <w:tcW w:w="513" w:type="dxa"/>
            <w:vAlign w:val="center"/>
          </w:tcPr>
          <w:p>
            <w:pPr>
              <w:pStyle w:val="5"/>
              <w:spacing w:line="240" w:lineRule="auto"/>
              <w:ind w:firstLine="0" w:firstLineChars="0"/>
              <w:jc w:val="center"/>
              <w:rPr>
                <w:rFonts w:cs="宋体"/>
                <w:color w:val="000000"/>
                <w:kern w:val="0"/>
                <w:sz w:val="18"/>
                <w:szCs w:val="18"/>
              </w:rPr>
            </w:pPr>
            <w:r>
              <w:rPr>
                <w:rFonts w:hint="eastAsia" w:cs="宋体"/>
                <w:color w:val="000000"/>
                <w:kern w:val="0"/>
                <w:sz w:val="18"/>
                <w:szCs w:val="18"/>
              </w:rPr>
              <w:t>3</w:t>
            </w:r>
          </w:p>
        </w:tc>
        <w:tc>
          <w:tcPr>
            <w:tcW w:w="514" w:type="dxa"/>
            <w:vAlign w:val="center"/>
          </w:tcPr>
          <w:p>
            <w:pPr>
              <w:pStyle w:val="5"/>
              <w:spacing w:line="240" w:lineRule="auto"/>
              <w:ind w:firstLine="0" w:firstLineChars="0"/>
              <w:jc w:val="center"/>
              <w:rPr>
                <w:rFonts w:cs="宋体"/>
                <w:color w:val="000000"/>
                <w:kern w:val="0"/>
                <w:sz w:val="18"/>
                <w:szCs w:val="18"/>
              </w:rPr>
            </w:pPr>
            <w:r>
              <w:rPr>
                <w:rFonts w:hint="eastAsia" w:cs="宋体"/>
                <w:color w:val="000000"/>
                <w:kern w:val="0"/>
                <w:sz w:val="18"/>
                <w:szCs w:val="18"/>
              </w:rPr>
              <w:t>1</w:t>
            </w:r>
          </w:p>
        </w:tc>
        <w:tc>
          <w:tcPr>
            <w:tcW w:w="634" w:type="dxa"/>
            <w:vMerge w:val="continue"/>
          </w:tcPr>
          <w:p>
            <w:pPr>
              <w:pStyle w:val="5"/>
              <w:spacing w:line="240" w:lineRule="auto"/>
              <w:ind w:firstLine="361"/>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restart"/>
            <w:vAlign w:val="center"/>
          </w:tcPr>
          <w:p>
            <w:pPr>
              <w:pStyle w:val="5"/>
              <w:spacing w:line="240" w:lineRule="auto"/>
              <w:ind w:firstLine="0" w:firstLineChars="0"/>
              <w:jc w:val="center"/>
              <w:rPr>
                <w:rFonts w:cs="宋体"/>
                <w:b/>
                <w:color w:val="000000"/>
                <w:kern w:val="0"/>
                <w:sz w:val="18"/>
                <w:szCs w:val="18"/>
              </w:rPr>
            </w:pPr>
            <w:r>
              <w:rPr>
                <w:rFonts w:hint="eastAsia" w:cs="宋体"/>
                <w:b/>
                <w:color w:val="000000"/>
                <w:kern w:val="0"/>
                <w:sz w:val="18"/>
                <w:szCs w:val="18"/>
              </w:rPr>
              <w:t>学科平台课程</w:t>
            </w:r>
          </w:p>
          <w:p>
            <w:pPr>
              <w:pStyle w:val="5"/>
              <w:spacing w:line="240" w:lineRule="auto"/>
              <w:ind w:firstLine="0" w:firstLineChars="0"/>
              <w:jc w:val="center"/>
              <w:rPr>
                <w:rFonts w:cs="宋体"/>
                <w:b/>
                <w:color w:val="000000"/>
                <w:kern w:val="0"/>
                <w:sz w:val="18"/>
                <w:szCs w:val="18"/>
              </w:rPr>
            </w:pPr>
            <w:r>
              <w:rPr>
                <w:rFonts w:hint="eastAsia" w:cs="宋体"/>
                <w:kern w:val="0"/>
                <w:sz w:val="18"/>
                <w:szCs w:val="18"/>
              </w:rPr>
              <w:t>（</w:t>
            </w:r>
            <w:r>
              <w:rPr>
                <w:rFonts w:hint="eastAsia" w:cs="宋体"/>
                <w:kern w:val="0"/>
                <w:sz w:val="18"/>
                <w:szCs w:val="18"/>
                <w:lang w:val="en-US" w:eastAsia="zh-CN"/>
              </w:rPr>
              <w:t>智能会计与智慧决策方向20学分，其他方向</w:t>
            </w:r>
            <w:r>
              <w:rPr>
                <w:rFonts w:hint="eastAsia" w:cs="宋体"/>
                <w:kern w:val="0"/>
                <w:sz w:val="18"/>
                <w:szCs w:val="18"/>
              </w:rPr>
              <w:t>1</w:t>
            </w:r>
            <w:r>
              <w:rPr>
                <w:rFonts w:hint="eastAsia" w:cs="宋体"/>
                <w:kern w:val="0"/>
                <w:sz w:val="18"/>
                <w:szCs w:val="18"/>
                <w:lang w:val="en-US" w:eastAsia="zh-CN"/>
              </w:rPr>
              <w:t>4学分</w:t>
            </w:r>
            <w:r>
              <w:rPr>
                <w:rFonts w:hint="eastAsia" w:cs="宋体"/>
                <w:kern w:val="0"/>
                <w:sz w:val="18"/>
                <w:szCs w:val="18"/>
              </w:rPr>
              <w:t>）</w:t>
            </w:r>
          </w:p>
        </w:tc>
        <w:tc>
          <w:tcPr>
            <w:tcW w:w="1011" w:type="dxa"/>
            <w:gridSpan w:val="2"/>
            <w:vAlign w:val="center"/>
          </w:tcPr>
          <w:p>
            <w:pPr>
              <w:jc w:val="center"/>
              <w:rPr>
                <w:rFonts w:ascii="宋体" w:hAnsi="宋体" w:eastAsia="宋体" w:cs="宋体"/>
                <w:kern w:val="0"/>
                <w:sz w:val="18"/>
                <w:szCs w:val="18"/>
                <w:highlight w:val="yellow"/>
              </w:rPr>
            </w:pPr>
            <w:r>
              <w:rPr>
                <w:rFonts w:hint="eastAsia" w:ascii="宋体" w:hAnsi="宋体" w:eastAsia="宋体" w:cs="宋体"/>
                <w:kern w:val="0"/>
                <w:sz w:val="18"/>
                <w:szCs w:val="18"/>
                <w:highlight w:val="yellow"/>
                <w:lang w:val="en-US" w:eastAsia="zh-CN"/>
              </w:rPr>
              <w:t>180138</w:t>
            </w:r>
          </w:p>
        </w:tc>
        <w:tc>
          <w:tcPr>
            <w:tcW w:w="5251" w:type="dxa"/>
            <w:gridSpan w:val="5"/>
            <w:vAlign w:val="center"/>
          </w:tcPr>
          <w:p>
            <w:pPr>
              <w:jc w:val="left"/>
              <w:rPr>
                <w:rFonts w:hint="eastAsia"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管理理论与实务</w:t>
            </w:r>
          </w:p>
          <w:p>
            <w:pPr>
              <w:jc w:val="left"/>
              <w:rPr>
                <w:rFonts w:hint="eastAsia"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Theory and Practice of Management</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w:t>
            </w:r>
          </w:p>
        </w:tc>
        <w:tc>
          <w:tcPr>
            <w:tcW w:w="634"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highlight w:val="yellow"/>
                <w:lang w:val="en-US" w:eastAsia="zh-CN"/>
              </w:rPr>
              <w:t>选修一门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vAlign w:val="center"/>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180124</w:t>
            </w:r>
          </w:p>
        </w:tc>
        <w:tc>
          <w:tcPr>
            <w:tcW w:w="5251" w:type="dxa"/>
            <w:gridSpan w:val="5"/>
            <w:vAlign w:val="center"/>
          </w:tcPr>
          <w:p>
            <w:pPr>
              <w:jc w:val="left"/>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公司战略与风险管理</w:t>
            </w:r>
          </w:p>
          <w:p>
            <w:pPr>
              <w:jc w:val="left"/>
              <w:rPr>
                <w:rFonts w:hint="default" w:ascii="Times New Roman" w:hAnsi="Times New Roman" w:eastAsia="宋体" w:cs="Times New Roman"/>
                <w:kern w:val="0"/>
                <w:sz w:val="18"/>
                <w:szCs w:val="18"/>
                <w:lang w:val="en-US" w:eastAsia="zh-CN"/>
              </w:rPr>
            </w:pPr>
            <w:r>
              <w:rPr>
                <w:rFonts w:ascii="Times New Roman" w:hAnsi="Times New Roman" w:eastAsia="宋体" w:cs="Times New Roman"/>
                <w:kern w:val="0"/>
                <w:sz w:val="18"/>
                <w:szCs w:val="18"/>
              </w:rPr>
              <w:t>Corporate Strategy and Risk Management</w:t>
            </w:r>
          </w:p>
        </w:tc>
        <w:tc>
          <w:tcPr>
            <w:tcW w:w="513"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14"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634" w:type="dxa"/>
            <w:vMerge w:val="continue"/>
            <w:vAlign w:val="center"/>
          </w:tcPr>
          <w:p>
            <w:pPr>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vAlign w:val="center"/>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180121</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商业伦理与会计职业道德</w:t>
            </w:r>
          </w:p>
          <w:p>
            <w:pPr>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18"/>
              </w:rPr>
              <w:t>Business and Professional Ethics</w:t>
            </w:r>
          </w:p>
        </w:tc>
        <w:tc>
          <w:tcPr>
            <w:tcW w:w="513" w:type="dxa"/>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t>
            </w:r>
          </w:p>
        </w:tc>
        <w:tc>
          <w:tcPr>
            <w:tcW w:w="514" w:type="dxa"/>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w:t>
            </w:r>
          </w:p>
        </w:tc>
        <w:tc>
          <w:tcPr>
            <w:tcW w:w="634" w:type="dxa"/>
            <w:vMerge w:val="restart"/>
            <w:vAlign w:val="center"/>
          </w:tcPr>
          <w:p>
            <w:pPr>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vAlign w:val="center"/>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180117</w:t>
            </w:r>
          </w:p>
        </w:tc>
        <w:tc>
          <w:tcPr>
            <w:tcW w:w="5251" w:type="dxa"/>
            <w:gridSpan w:val="5"/>
            <w:vAlign w:val="center"/>
          </w:tcPr>
          <w:p>
            <w:pPr>
              <w:jc w:val="left"/>
              <w:rPr>
                <w:rFonts w:ascii="Times New Roman" w:hAnsi="Times New Roman" w:eastAsia="宋体" w:cs="Times New Roman"/>
                <w:kern w:val="0"/>
                <w:sz w:val="18"/>
                <w:szCs w:val="18"/>
                <w:highlight w:val="yellow"/>
              </w:rPr>
            </w:pPr>
            <w:r>
              <w:rPr>
                <w:rFonts w:ascii="Times New Roman" w:hAnsi="Times New Roman" w:eastAsia="宋体" w:cs="Times New Roman"/>
                <w:kern w:val="0"/>
                <w:sz w:val="18"/>
                <w:szCs w:val="18"/>
                <w:highlight w:val="yellow"/>
              </w:rPr>
              <w:t>财务会计理论与实务</w:t>
            </w:r>
          </w:p>
          <w:p>
            <w:pPr>
              <w:jc w:val="left"/>
              <w:rPr>
                <w:rFonts w:ascii="Times New Roman" w:hAnsi="Times New Roman" w:eastAsia="宋体" w:cs="Times New Roman"/>
                <w:kern w:val="0"/>
                <w:sz w:val="18"/>
                <w:szCs w:val="18"/>
                <w:highlight w:val="yellow"/>
                <w:lang w:val="en-US" w:eastAsia="zh-CN" w:bidi="ar-SA"/>
              </w:rPr>
            </w:pPr>
            <w:r>
              <w:rPr>
                <w:rFonts w:ascii="Times New Roman" w:hAnsi="Times New Roman" w:eastAsia="宋体" w:cs="Times New Roman"/>
                <w:kern w:val="0"/>
                <w:sz w:val="18"/>
                <w:szCs w:val="18"/>
                <w:highlight w:val="yellow"/>
              </w:rPr>
              <w:t xml:space="preserve">Theory and Practice of Financial Accounting </w:t>
            </w:r>
          </w:p>
        </w:tc>
        <w:tc>
          <w:tcPr>
            <w:tcW w:w="513" w:type="dxa"/>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w:t>
            </w:r>
          </w:p>
        </w:tc>
        <w:tc>
          <w:tcPr>
            <w:tcW w:w="514" w:type="dxa"/>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w:t>
            </w:r>
          </w:p>
        </w:tc>
        <w:tc>
          <w:tcPr>
            <w:tcW w:w="634" w:type="dxa"/>
            <w:vMerge w:val="continue"/>
            <w:vAlign w:val="center"/>
          </w:tcPr>
          <w:p>
            <w:pPr>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vAlign w:val="center"/>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180118</w:t>
            </w:r>
          </w:p>
        </w:tc>
        <w:tc>
          <w:tcPr>
            <w:tcW w:w="5251" w:type="dxa"/>
            <w:gridSpan w:val="5"/>
            <w:vAlign w:val="center"/>
          </w:tcPr>
          <w:p>
            <w:pPr>
              <w:jc w:val="left"/>
              <w:rPr>
                <w:rFonts w:ascii="Times New Roman" w:hAnsi="Times New Roman" w:eastAsia="宋体" w:cs="Times New Roman"/>
                <w:kern w:val="0"/>
                <w:sz w:val="18"/>
                <w:szCs w:val="18"/>
                <w:highlight w:val="yellow"/>
              </w:rPr>
            </w:pPr>
            <w:r>
              <w:rPr>
                <w:rFonts w:ascii="Times New Roman" w:hAnsi="Times New Roman" w:eastAsia="宋体" w:cs="Times New Roman"/>
                <w:kern w:val="0"/>
                <w:sz w:val="18"/>
                <w:szCs w:val="18"/>
                <w:highlight w:val="yellow"/>
              </w:rPr>
              <w:t>财务管理理论与实务</w:t>
            </w:r>
          </w:p>
          <w:p>
            <w:pPr>
              <w:jc w:val="left"/>
              <w:rPr>
                <w:rFonts w:ascii="Times New Roman" w:hAnsi="Times New Roman" w:eastAsia="宋体" w:cs="Times New Roman"/>
                <w:kern w:val="0"/>
                <w:sz w:val="18"/>
                <w:szCs w:val="18"/>
                <w:highlight w:val="yellow"/>
              </w:rPr>
            </w:pPr>
            <w:r>
              <w:rPr>
                <w:rFonts w:ascii="Times New Roman" w:hAnsi="Times New Roman" w:eastAsia="宋体" w:cs="Times New Roman"/>
                <w:kern w:val="0"/>
                <w:sz w:val="18"/>
                <w:szCs w:val="18"/>
                <w:highlight w:val="yellow"/>
              </w:rPr>
              <w:t>Theory and Practice of Financial Management</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34" w:type="dxa"/>
            <w:vMerge w:val="continue"/>
            <w:vAlign w:val="center"/>
          </w:tcPr>
          <w:p>
            <w:pPr>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vAlign w:val="center"/>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180119</w:t>
            </w:r>
          </w:p>
        </w:tc>
        <w:tc>
          <w:tcPr>
            <w:tcW w:w="5251" w:type="dxa"/>
            <w:gridSpan w:val="5"/>
            <w:vAlign w:val="center"/>
          </w:tcPr>
          <w:p>
            <w:pPr>
              <w:jc w:val="left"/>
              <w:rPr>
                <w:rFonts w:ascii="Times New Roman" w:hAnsi="Times New Roman" w:eastAsia="宋体" w:cs="Times New Roman"/>
                <w:kern w:val="0"/>
                <w:sz w:val="18"/>
                <w:szCs w:val="18"/>
                <w:highlight w:val="yellow"/>
              </w:rPr>
            </w:pPr>
            <w:r>
              <w:rPr>
                <w:rFonts w:ascii="Times New Roman" w:hAnsi="Times New Roman" w:eastAsia="宋体" w:cs="Times New Roman"/>
                <w:kern w:val="0"/>
                <w:sz w:val="18"/>
                <w:szCs w:val="18"/>
                <w:highlight w:val="yellow"/>
              </w:rPr>
              <w:t>审计理论与实务</w:t>
            </w:r>
          </w:p>
          <w:p>
            <w:pPr>
              <w:jc w:val="left"/>
              <w:rPr>
                <w:rFonts w:ascii="Times New Roman" w:hAnsi="Times New Roman" w:eastAsia="宋体" w:cs="Times New Roman"/>
                <w:kern w:val="0"/>
                <w:sz w:val="18"/>
                <w:szCs w:val="18"/>
                <w:highlight w:val="yellow"/>
              </w:rPr>
            </w:pPr>
            <w:r>
              <w:rPr>
                <w:rFonts w:ascii="Times New Roman" w:hAnsi="Times New Roman" w:eastAsia="宋体" w:cs="Times New Roman"/>
                <w:kern w:val="0"/>
                <w:sz w:val="18"/>
                <w:szCs w:val="18"/>
                <w:highlight w:val="yellow"/>
              </w:rPr>
              <w:t>Theory and Practice of Auditing</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vAlign w:val="center"/>
          </w:tcPr>
          <w:p>
            <w:pPr>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vAlign w:val="center"/>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180120</w:t>
            </w:r>
          </w:p>
        </w:tc>
        <w:tc>
          <w:tcPr>
            <w:tcW w:w="5251" w:type="dxa"/>
            <w:gridSpan w:val="5"/>
            <w:vAlign w:val="center"/>
          </w:tcPr>
          <w:p>
            <w:pPr>
              <w:jc w:val="left"/>
              <w:rPr>
                <w:rFonts w:ascii="Times New Roman" w:hAnsi="Times New Roman" w:eastAsia="宋体" w:cs="Times New Roman"/>
                <w:kern w:val="0"/>
                <w:sz w:val="18"/>
                <w:szCs w:val="18"/>
                <w:highlight w:val="yellow"/>
              </w:rPr>
            </w:pPr>
            <w:r>
              <w:rPr>
                <w:rFonts w:ascii="Times New Roman" w:hAnsi="Times New Roman" w:eastAsia="宋体" w:cs="Times New Roman"/>
                <w:kern w:val="0"/>
                <w:sz w:val="18"/>
                <w:szCs w:val="18"/>
                <w:highlight w:val="yellow"/>
              </w:rPr>
              <w:t>管理会计理论与实务</w:t>
            </w:r>
          </w:p>
          <w:p>
            <w:pPr>
              <w:jc w:val="left"/>
              <w:rPr>
                <w:rFonts w:ascii="Times New Roman" w:hAnsi="Times New Roman" w:eastAsia="宋体" w:cs="Times New Roman"/>
                <w:kern w:val="0"/>
                <w:sz w:val="18"/>
                <w:szCs w:val="18"/>
                <w:highlight w:val="yellow"/>
              </w:rPr>
            </w:pPr>
            <w:r>
              <w:rPr>
                <w:rFonts w:ascii="Times New Roman" w:hAnsi="Times New Roman" w:eastAsia="宋体" w:cs="Times New Roman"/>
                <w:kern w:val="0"/>
                <w:sz w:val="18"/>
                <w:szCs w:val="18"/>
                <w:highlight w:val="yellow"/>
              </w:rPr>
              <w:t>Theory and Practice of Management Accounting</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vAlign w:val="center"/>
          </w:tcPr>
          <w:p>
            <w:pPr>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434" w:type="dxa"/>
            <w:gridSpan w:val="2"/>
            <w:vMerge w:val="continue"/>
            <w:vAlign w:val="center"/>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180139</w:t>
            </w:r>
          </w:p>
        </w:tc>
        <w:tc>
          <w:tcPr>
            <w:tcW w:w="5251" w:type="dxa"/>
            <w:gridSpan w:val="5"/>
            <w:vAlign w:val="center"/>
          </w:tcPr>
          <w:p>
            <w:pPr>
              <w:jc w:val="left"/>
              <w:rPr>
                <w:rFonts w:hint="eastAsia"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智能财务基础</w:t>
            </w:r>
          </w:p>
          <w:p>
            <w:pPr>
              <w:jc w:val="left"/>
              <w:rPr>
                <w:rFonts w:hint="default"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 xml:space="preserve">Basis of </w:t>
            </w:r>
            <w:r>
              <w:rPr>
                <w:rFonts w:hint="default" w:ascii="Times New Roman" w:hAnsi="Times New Roman" w:eastAsia="宋体" w:cs="Times New Roman"/>
                <w:kern w:val="0"/>
                <w:sz w:val="18"/>
                <w:szCs w:val="18"/>
                <w:highlight w:val="yellow"/>
                <w:lang w:val="en-US" w:eastAsia="zh-CN"/>
              </w:rPr>
              <w:fldChar w:fldCharType="begin"/>
            </w:r>
            <w:r>
              <w:rPr>
                <w:rFonts w:hint="default" w:ascii="Times New Roman" w:hAnsi="Times New Roman" w:eastAsia="宋体" w:cs="Times New Roman"/>
                <w:kern w:val="0"/>
                <w:sz w:val="18"/>
                <w:szCs w:val="18"/>
                <w:highlight w:val="yellow"/>
                <w:lang w:val="en-US" w:eastAsia="zh-CN"/>
              </w:rPr>
              <w:instrText xml:space="preserve"> HYPERLINK "javascript:;" </w:instrText>
            </w:r>
            <w:r>
              <w:rPr>
                <w:rFonts w:hint="default" w:ascii="Times New Roman" w:hAnsi="Times New Roman" w:eastAsia="宋体" w:cs="Times New Roman"/>
                <w:kern w:val="0"/>
                <w:sz w:val="18"/>
                <w:szCs w:val="18"/>
                <w:highlight w:val="yellow"/>
                <w:lang w:val="en-US" w:eastAsia="zh-CN"/>
              </w:rPr>
              <w:fldChar w:fldCharType="separate"/>
            </w:r>
            <w:r>
              <w:rPr>
                <w:rFonts w:hint="eastAsia" w:ascii="Times New Roman" w:hAnsi="Times New Roman" w:eastAsia="宋体" w:cs="Times New Roman"/>
                <w:kern w:val="0"/>
                <w:sz w:val="18"/>
                <w:szCs w:val="18"/>
                <w:highlight w:val="yellow"/>
                <w:lang w:val="en-US" w:eastAsia="zh-CN"/>
              </w:rPr>
              <w:t>I</w:t>
            </w:r>
            <w:r>
              <w:rPr>
                <w:rFonts w:hint="default" w:ascii="Times New Roman" w:hAnsi="Times New Roman" w:eastAsia="宋体" w:cs="Times New Roman"/>
                <w:kern w:val="0"/>
                <w:sz w:val="18"/>
                <w:szCs w:val="18"/>
                <w:highlight w:val="yellow"/>
                <w:lang w:val="en-US" w:eastAsia="zh-CN"/>
              </w:rPr>
              <w:t>ntelligent</w:t>
            </w:r>
            <w:r>
              <w:rPr>
                <w:rFonts w:hint="default" w:ascii="Times New Roman" w:hAnsi="Times New Roman" w:eastAsia="宋体" w:cs="Times New Roman"/>
                <w:kern w:val="0"/>
                <w:sz w:val="18"/>
                <w:szCs w:val="18"/>
                <w:highlight w:val="yellow"/>
                <w:lang w:val="en-US" w:eastAsia="zh-CN"/>
              </w:rPr>
              <w:fldChar w:fldCharType="end"/>
            </w:r>
            <w:r>
              <w:rPr>
                <w:rFonts w:hint="eastAsia" w:ascii="Times New Roman" w:hAnsi="Times New Roman" w:eastAsia="宋体" w:cs="Times New Roman"/>
                <w:kern w:val="0"/>
                <w:sz w:val="18"/>
                <w:szCs w:val="18"/>
                <w:highlight w:val="yellow"/>
                <w:lang w:val="en-US" w:eastAsia="zh-CN"/>
              </w:rPr>
              <w:t xml:space="preserve"> Finance</w:t>
            </w:r>
          </w:p>
        </w:tc>
        <w:tc>
          <w:tcPr>
            <w:tcW w:w="513" w:type="dxa"/>
            <w:vAlign w:val="center"/>
          </w:tcPr>
          <w:p>
            <w:pPr>
              <w:jc w:val="center"/>
              <w:rPr>
                <w:rFonts w:hint="eastAsia"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3</w:t>
            </w:r>
          </w:p>
        </w:tc>
        <w:tc>
          <w:tcPr>
            <w:tcW w:w="514" w:type="dxa"/>
            <w:vAlign w:val="center"/>
          </w:tcPr>
          <w:p>
            <w:pPr>
              <w:jc w:val="center"/>
              <w:rPr>
                <w:rFonts w:hint="eastAsia"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1</w:t>
            </w:r>
          </w:p>
        </w:tc>
        <w:tc>
          <w:tcPr>
            <w:tcW w:w="634"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highlight w:val="yellow"/>
                <w:lang w:val="en-US" w:eastAsia="zh-CN"/>
              </w:rPr>
              <w:t>智能会计与智慧决策方向必修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vAlign w:val="center"/>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180140</w:t>
            </w:r>
          </w:p>
        </w:tc>
        <w:tc>
          <w:tcPr>
            <w:tcW w:w="5251" w:type="dxa"/>
            <w:gridSpan w:val="5"/>
            <w:vAlign w:val="center"/>
          </w:tcPr>
          <w:p>
            <w:pPr>
              <w:jc w:val="left"/>
              <w:rPr>
                <w:rFonts w:hint="default"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Python在企业财务中的应用</w:t>
            </w:r>
          </w:p>
          <w:p>
            <w:pPr>
              <w:jc w:val="left"/>
              <w:rPr>
                <w:rFonts w:hint="default" w:ascii="Times New Roman" w:hAnsi="Times New Roman" w:eastAsia="宋体" w:cs="Times New Roman"/>
                <w:kern w:val="0"/>
                <w:sz w:val="18"/>
                <w:szCs w:val="18"/>
                <w:highlight w:val="yellow"/>
                <w:lang w:val="en-US" w:eastAsia="zh-CN"/>
              </w:rPr>
            </w:pPr>
            <w:r>
              <w:rPr>
                <w:rFonts w:hint="default" w:ascii="Times New Roman" w:hAnsi="Times New Roman" w:eastAsia="宋体" w:cs="Times New Roman"/>
                <w:kern w:val="0"/>
                <w:sz w:val="18"/>
                <w:szCs w:val="18"/>
                <w:highlight w:val="yellow"/>
                <w:lang w:val="en-US" w:eastAsia="zh-CN"/>
              </w:rPr>
              <w:t xml:space="preserve">Python for </w:t>
            </w:r>
            <w:r>
              <w:rPr>
                <w:rFonts w:hint="eastAsia" w:ascii="Times New Roman" w:hAnsi="Times New Roman" w:eastAsia="宋体" w:cs="Times New Roman"/>
                <w:kern w:val="0"/>
                <w:sz w:val="18"/>
                <w:szCs w:val="18"/>
                <w:highlight w:val="yellow"/>
                <w:lang w:val="en-US" w:eastAsia="zh-CN"/>
              </w:rPr>
              <w:t>C</w:t>
            </w:r>
            <w:r>
              <w:rPr>
                <w:rFonts w:hint="default" w:ascii="Times New Roman" w:hAnsi="Times New Roman" w:eastAsia="宋体" w:cs="Times New Roman"/>
                <w:kern w:val="0"/>
                <w:sz w:val="18"/>
                <w:szCs w:val="18"/>
                <w:highlight w:val="yellow"/>
                <w:lang w:val="en-US" w:eastAsia="zh-CN"/>
              </w:rPr>
              <w:t xml:space="preserve">orporate </w:t>
            </w:r>
            <w:r>
              <w:rPr>
                <w:rFonts w:hint="eastAsia" w:ascii="Times New Roman" w:hAnsi="Times New Roman" w:eastAsia="宋体" w:cs="Times New Roman"/>
                <w:kern w:val="0"/>
                <w:sz w:val="18"/>
                <w:szCs w:val="18"/>
                <w:highlight w:val="yellow"/>
                <w:lang w:val="en-US" w:eastAsia="zh-CN"/>
              </w:rPr>
              <w:t>F</w:t>
            </w:r>
            <w:r>
              <w:rPr>
                <w:rFonts w:hint="default" w:ascii="Times New Roman" w:hAnsi="Times New Roman" w:eastAsia="宋体" w:cs="Times New Roman"/>
                <w:kern w:val="0"/>
                <w:sz w:val="18"/>
                <w:szCs w:val="18"/>
                <w:highlight w:val="yellow"/>
                <w:lang w:val="en-US" w:eastAsia="zh-CN"/>
              </w:rPr>
              <w:t>inance</w:t>
            </w:r>
          </w:p>
        </w:tc>
        <w:tc>
          <w:tcPr>
            <w:tcW w:w="513" w:type="dxa"/>
            <w:vAlign w:val="center"/>
          </w:tcPr>
          <w:p>
            <w:pPr>
              <w:jc w:val="center"/>
              <w:rPr>
                <w:rFonts w:hint="eastAsia"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3</w:t>
            </w:r>
          </w:p>
        </w:tc>
        <w:tc>
          <w:tcPr>
            <w:tcW w:w="514" w:type="dxa"/>
            <w:vAlign w:val="center"/>
          </w:tcPr>
          <w:p>
            <w:pPr>
              <w:jc w:val="center"/>
              <w:rPr>
                <w:rFonts w:hint="eastAsia"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2</w:t>
            </w:r>
          </w:p>
        </w:tc>
        <w:tc>
          <w:tcPr>
            <w:tcW w:w="634" w:type="dxa"/>
            <w:vMerge w:val="continue"/>
            <w:vAlign w:val="center"/>
          </w:tcPr>
          <w:p>
            <w:pPr>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restart"/>
            <w:vAlign w:val="center"/>
          </w:tcPr>
          <w:p>
            <w:pPr>
              <w:pStyle w:val="5"/>
              <w:spacing w:line="240" w:lineRule="auto"/>
              <w:ind w:firstLine="0" w:firstLineChars="0"/>
              <w:jc w:val="center"/>
              <w:rPr>
                <w:rFonts w:cs="宋体"/>
                <w:b/>
                <w:color w:val="000000"/>
                <w:kern w:val="0"/>
                <w:sz w:val="18"/>
                <w:szCs w:val="18"/>
              </w:rPr>
            </w:pPr>
          </w:p>
          <w:p>
            <w:pPr>
              <w:pStyle w:val="5"/>
              <w:spacing w:line="240" w:lineRule="auto"/>
              <w:ind w:firstLine="0" w:firstLineChars="0"/>
              <w:jc w:val="center"/>
              <w:rPr>
                <w:rFonts w:cs="宋体"/>
                <w:b/>
                <w:color w:val="000000"/>
                <w:kern w:val="0"/>
                <w:sz w:val="18"/>
                <w:szCs w:val="18"/>
              </w:rPr>
            </w:pPr>
          </w:p>
          <w:p>
            <w:pPr>
              <w:pStyle w:val="5"/>
              <w:spacing w:line="240" w:lineRule="auto"/>
              <w:ind w:firstLine="0" w:firstLineChars="0"/>
              <w:jc w:val="center"/>
              <w:rPr>
                <w:rFonts w:cs="宋体"/>
                <w:b/>
                <w:color w:val="000000"/>
                <w:kern w:val="0"/>
                <w:sz w:val="18"/>
                <w:szCs w:val="18"/>
              </w:rPr>
            </w:pPr>
          </w:p>
          <w:p>
            <w:pPr>
              <w:pStyle w:val="5"/>
              <w:spacing w:line="240" w:lineRule="auto"/>
              <w:ind w:firstLine="0" w:firstLineChars="0"/>
              <w:jc w:val="center"/>
              <w:rPr>
                <w:rFonts w:cs="宋体"/>
                <w:b/>
                <w:color w:val="000000"/>
                <w:kern w:val="0"/>
                <w:sz w:val="18"/>
                <w:szCs w:val="18"/>
              </w:rPr>
            </w:pPr>
          </w:p>
          <w:p>
            <w:pPr>
              <w:pStyle w:val="5"/>
              <w:spacing w:line="240" w:lineRule="auto"/>
              <w:ind w:firstLine="0" w:firstLineChars="0"/>
              <w:jc w:val="center"/>
              <w:rPr>
                <w:rFonts w:cs="宋体"/>
                <w:b/>
                <w:color w:val="000000"/>
                <w:kern w:val="0"/>
                <w:sz w:val="18"/>
                <w:szCs w:val="18"/>
              </w:rPr>
            </w:pPr>
          </w:p>
          <w:p>
            <w:pPr>
              <w:pStyle w:val="5"/>
              <w:spacing w:line="240" w:lineRule="auto"/>
              <w:ind w:firstLine="0" w:firstLineChars="0"/>
              <w:jc w:val="center"/>
              <w:rPr>
                <w:rFonts w:cs="宋体"/>
                <w:b/>
                <w:color w:val="000000"/>
                <w:kern w:val="0"/>
                <w:sz w:val="18"/>
                <w:szCs w:val="18"/>
              </w:rPr>
            </w:pPr>
          </w:p>
          <w:p>
            <w:pPr>
              <w:pStyle w:val="5"/>
              <w:spacing w:line="240" w:lineRule="auto"/>
              <w:ind w:firstLine="0" w:firstLineChars="0"/>
              <w:jc w:val="center"/>
              <w:rPr>
                <w:rFonts w:cs="宋体"/>
                <w:b/>
                <w:color w:val="000000"/>
                <w:kern w:val="0"/>
                <w:sz w:val="18"/>
                <w:szCs w:val="18"/>
              </w:rPr>
            </w:pPr>
            <w:r>
              <w:rPr>
                <w:rFonts w:hint="eastAsia" w:cs="宋体"/>
                <w:b/>
                <w:color w:val="000000"/>
                <w:kern w:val="0"/>
                <w:sz w:val="18"/>
                <w:szCs w:val="18"/>
              </w:rPr>
              <w:t>方向选修课程</w:t>
            </w:r>
          </w:p>
          <w:p>
            <w:pPr>
              <w:pStyle w:val="5"/>
              <w:spacing w:line="240" w:lineRule="auto"/>
              <w:ind w:firstLine="0" w:firstLineChars="0"/>
              <w:jc w:val="center"/>
              <w:rPr>
                <w:rFonts w:cs="宋体"/>
                <w:b/>
                <w:color w:val="000000"/>
                <w:kern w:val="0"/>
                <w:sz w:val="18"/>
                <w:szCs w:val="18"/>
              </w:rPr>
            </w:pPr>
            <w:r>
              <w:rPr>
                <w:rFonts w:hint="eastAsia" w:cs="宋体"/>
                <w:b w:val="0"/>
                <w:bCs/>
                <w:color w:val="000000"/>
                <w:kern w:val="0"/>
                <w:sz w:val="18"/>
                <w:szCs w:val="18"/>
              </w:rPr>
              <w:t>（≥12学分</w:t>
            </w:r>
            <w:r>
              <w:rPr>
                <w:rFonts w:hint="eastAsia" w:cs="宋体"/>
                <w:b w:val="0"/>
                <w:bCs/>
                <w:color w:val="000000"/>
                <w:kern w:val="0"/>
                <w:sz w:val="18"/>
                <w:szCs w:val="18"/>
                <w:lang w:eastAsia="zh-CN"/>
              </w:rPr>
              <w:t>，</w:t>
            </w:r>
            <w:r>
              <w:rPr>
                <w:rFonts w:hint="eastAsia" w:cs="宋体"/>
                <w:b w:val="0"/>
                <w:bCs/>
                <w:color w:val="000000"/>
                <w:kern w:val="0"/>
                <w:sz w:val="18"/>
                <w:szCs w:val="18"/>
                <w:lang w:val="en-US" w:eastAsia="zh-CN"/>
              </w:rPr>
              <w:t>其中，智能会计和智慧决策方向从180142-180148课程中至少选修7学分</w:t>
            </w:r>
            <w:r>
              <w:rPr>
                <w:rFonts w:hint="eastAsia" w:cs="宋体"/>
                <w:b w:val="0"/>
                <w:bCs/>
                <w:color w:val="000000"/>
                <w:kern w:val="0"/>
                <w:sz w:val="18"/>
                <w:szCs w:val="18"/>
              </w:rPr>
              <w:t>）</w:t>
            </w: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180122</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数量分析方法</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Quantitative Analysis Methods</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34" w:type="dxa"/>
            <w:vMerge w:val="restart"/>
            <w:vAlign w:val="center"/>
          </w:tcPr>
          <w:p>
            <w:pPr>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180123</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会计研究方法</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Accounting Research Methods</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180125</w:t>
            </w:r>
          </w:p>
        </w:tc>
        <w:tc>
          <w:tcPr>
            <w:tcW w:w="5251" w:type="dxa"/>
            <w:gridSpan w:val="5"/>
            <w:vAlign w:val="center"/>
          </w:tcPr>
          <w:p>
            <w:pPr>
              <w:jc w:val="left"/>
              <w:rPr>
                <w:rFonts w:hint="eastAsia"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学术规范与论文写作</w:t>
            </w:r>
          </w:p>
          <w:p>
            <w:pPr>
              <w:jc w:val="left"/>
              <w:rPr>
                <w:rFonts w:hint="default" w:ascii="Times New Roman" w:hAnsi="Times New Roman" w:eastAsia="宋体" w:cs="Times New Roman"/>
                <w:kern w:val="0"/>
                <w:sz w:val="18"/>
                <w:szCs w:val="18"/>
                <w:highlight w:val="yellow"/>
                <w:lang w:val="en-US" w:eastAsia="zh-CN"/>
              </w:rPr>
            </w:pPr>
            <w:r>
              <w:rPr>
                <w:rFonts w:hint="default" w:ascii="Times New Roman" w:hAnsi="Times New Roman" w:eastAsia="宋体" w:cs="Times New Roman"/>
                <w:kern w:val="0"/>
                <w:sz w:val="18"/>
                <w:szCs w:val="18"/>
                <w:highlight w:val="yellow"/>
                <w:lang w:val="en-US" w:eastAsia="zh-CN"/>
              </w:rPr>
              <w:t xml:space="preserve">Academic </w:t>
            </w:r>
            <w:r>
              <w:rPr>
                <w:rFonts w:hint="eastAsia" w:ascii="Times New Roman" w:hAnsi="Times New Roman" w:eastAsia="宋体" w:cs="Times New Roman"/>
                <w:kern w:val="0"/>
                <w:sz w:val="18"/>
                <w:szCs w:val="18"/>
                <w:highlight w:val="yellow"/>
                <w:lang w:val="en-US" w:eastAsia="zh-CN"/>
              </w:rPr>
              <w:t>N</w:t>
            </w:r>
            <w:r>
              <w:rPr>
                <w:rFonts w:hint="default" w:ascii="Times New Roman" w:hAnsi="Times New Roman" w:eastAsia="宋体" w:cs="Times New Roman"/>
                <w:kern w:val="0"/>
                <w:sz w:val="18"/>
                <w:szCs w:val="18"/>
                <w:highlight w:val="yellow"/>
                <w:lang w:val="en-US" w:eastAsia="zh-CN"/>
              </w:rPr>
              <w:t xml:space="preserve">orms and </w:t>
            </w:r>
            <w:r>
              <w:rPr>
                <w:rFonts w:hint="eastAsia" w:ascii="Times New Roman" w:hAnsi="Times New Roman" w:eastAsia="宋体" w:cs="Times New Roman"/>
                <w:kern w:val="0"/>
                <w:sz w:val="18"/>
                <w:szCs w:val="18"/>
                <w:highlight w:val="yellow"/>
                <w:lang w:val="en-US" w:eastAsia="zh-CN"/>
              </w:rPr>
              <w:t>E</w:t>
            </w:r>
            <w:r>
              <w:rPr>
                <w:rFonts w:hint="default" w:ascii="Times New Roman" w:hAnsi="Times New Roman" w:eastAsia="宋体" w:cs="Times New Roman"/>
                <w:kern w:val="0"/>
                <w:sz w:val="18"/>
                <w:szCs w:val="18"/>
                <w:highlight w:val="yellow"/>
                <w:lang w:val="en-US" w:eastAsia="zh-CN"/>
              </w:rPr>
              <w:t xml:space="preserve">ssay </w:t>
            </w:r>
            <w:r>
              <w:rPr>
                <w:rFonts w:hint="eastAsia" w:ascii="Times New Roman" w:hAnsi="Times New Roman" w:eastAsia="宋体" w:cs="Times New Roman"/>
                <w:kern w:val="0"/>
                <w:sz w:val="18"/>
                <w:szCs w:val="18"/>
                <w:highlight w:val="yellow"/>
                <w:lang w:val="en-US" w:eastAsia="zh-CN"/>
              </w:rPr>
              <w:t>W</w:t>
            </w:r>
            <w:r>
              <w:rPr>
                <w:rFonts w:hint="default" w:ascii="Times New Roman" w:hAnsi="Times New Roman" w:eastAsia="宋体" w:cs="Times New Roman"/>
                <w:kern w:val="0"/>
                <w:sz w:val="18"/>
                <w:szCs w:val="18"/>
                <w:highlight w:val="yellow"/>
                <w:lang w:val="en-US" w:eastAsia="zh-CN"/>
              </w:rPr>
              <w:t>riting</w:t>
            </w:r>
          </w:p>
        </w:tc>
        <w:tc>
          <w:tcPr>
            <w:tcW w:w="513"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514"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180126</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财务报表分析</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Financial Statement Analysis</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180127</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企业税务筹划</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Enterprise Tax Planning</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180128</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资本运营与财务战略</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Capital Operation and Financial Strategy</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180129</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企业并购与重组</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Corporate Merger and Acquisition</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180141</w:t>
            </w:r>
          </w:p>
        </w:tc>
        <w:tc>
          <w:tcPr>
            <w:tcW w:w="5251" w:type="dxa"/>
            <w:gridSpan w:val="5"/>
            <w:vAlign w:val="center"/>
          </w:tcPr>
          <w:p>
            <w:pPr>
              <w:jc w:val="left"/>
              <w:rPr>
                <w:rFonts w:hint="default"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资本市场与上市筹划</w:t>
            </w:r>
          </w:p>
          <w:p>
            <w:pPr>
              <w:jc w:val="left"/>
              <w:rPr>
                <w:rFonts w:hint="default" w:ascii="Times New Roman" w:hAnsi="Times New Roman" w:eastAsia="宋体" w:cs="Times New Roman"/>
                <w:kern w:val="0"/>
                <w:sz w:val="18"/>
                <w:szCs w:val="18"/>
                <w:highlight w:val="yellow"/>
                <w:lang w:val="en-US" w:eastAsia="zh-CN"/>
              </w:rPr>
            </w:pPr>
            <w:r>
              <w:rPr>
                <w:rFonts w:hint="default" w:ascii="Times New Roman" w:hAnsi="Times New Roman" w:eastAsia="宋体" w:cs="Times New Roman"/>
                <w:kern w:val="0"/>
                <w:sz w:val="18"/>
                <w:szCs w:val="18"/>
                <w:highlight w:val="yellow"/>
                <w:lang w:val="en-US" w:eastAsia="zh-CN"/>
              </w:rPr>
              <w:t xml:space="preserve">Capital </w:t>
            </w:r>
            <w:r>
              <w:rPr>
                <w:rFonts w:hint="eastAsia" w:ascii="Times New Roman" w:hAnsi="Times New Roman" w:eastAsia="宋体" w:cs="Times New Roman"/>
                <w:kern w:val="0"/>
                <w:sz w:val="18"/>
                <w:szCs w:val="18"/>
                <w:highlight w:val="yellow"/>
                <w:lang w:val="en-US" w:eastAsia="zh-CN"/>
              </w:rPr>
              <w:t>M</w:t>
            </w:r>
            <w:r>
              <w:rPr>
                <w:rFonts w:hint="default" w:ascii="Times New Roman" w:hAnsi="Times New Roman" w:eastAsia="宋体" w:cs="Times New Roman"/>
                <w:kern w:val="0"/>
                <w:sz w:val="18"/>
                <w:szCs w:val="18"/>
                <w:highlight w:val="yellow"/>
                <w:lang w:val="en-US" w:eastAsia="zh-CN"/>
              </w:rPr>
              <w:t xml:space="preserve">arket and </w:t>
            </w:r>
            <w:r>
              <w:rPr>
                <w:rFonts w:hint="eastAsia" w:ascii="Times New Roman" w:hAnsi="Times New Roman" w:eastAsia="宋体" w:cs="Times New Roman"/>
                <w:kern w:val="0"/>
                <w:sz w:val="18"/>
                <w:szCs w:val="18"/>
                <w:highlight w:val="yellow"/>
                <w:lang w:val="en-US" w:eastAsia="zh-CN"/>
              </w:rPr>
              <w:t>L</w:t>
            </w:r>
            <w:r>
              <w:rPr>
                <w:rFonts w:hint="default" w:ascii="Times New Roman" w:hAnsi="Times New Roman" w:eastAsia="宋体" w:cs="Times New Roman"/>
                <w:kern w:val="0"/>
                <w:sz w:val="18"/>
                <w:szCs w:val="18"/>
                <w:highlight w:val="yellow"/>
                <w:lang w:val="en-US" w:eastAsia="zh-CN"/>
              </w:rPr>
              <w:t xml:space="preserve">isting </w:t>
            </w:r>
            <w:r>
              <w:rPr>
                <w:rFonts w:hint="eastAsia" w:ascii="Times New Roman" w:hAnsi="Times New Roman" w:eastAsia="宋体" w:cs="Times New Roman"/>
                <w:kern w:val="0"/>
                <w:sz w:val="18"/>
                <w:szCs w:val="18"/>
                <w:highlight w:val="yellow"/>
                <w:lang w:val="en-US" w:eastAsia="zh-CN"/>
              </w:rPr>
              <w:t>P</w:t>
            </w:r>
            <w:r>
              <w:rPr>
                <w:rFonts w:hint="default" w:ascii="Times New Roman" w:hAnsi="Times New Roman" w:eastAsia="宋体" w:cs="Times New Roman"/>
                <w:kern w:val="0"/>
                <w:sz w:val="18"/>
                <w:szCs w:val="18"/>
                <w:highlight w:val="yellow"/>
                <w:lang w:val="en-US" w:eastAsia="zh-CN"/>
              </w:rPr>
              <w:t>lanning</w:t>
            </w:r>
          </w:p>
        </w:tc>
        <w:tc>
          <w:tcPr>
            <w:tcW w:w="513" w:type="dxa"/>
            <w:vAlign w:val="center"/>
          </w:tcPr>
          <w:p>
            <w:pPr>
              <w:jc w:val="center"/>
              <w:rPr>
                <w:rFonts w:hint="eastAsia"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2</w:t>
            </w:r>
          </w:p>
        </w:tc>
        <w:tc>
          <w:tcPr>
            <w:tcW w:w="514" w:type="dxa"/>
            <w:vAlign w:val="center"/>
          </w:tcPr>
          <w:p>
            <w:pPr>
              <w:jc w:val="center"/>
              <w:rPr>
                <w:rFonts w:hint="eastAsia"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180130</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国际财务管理</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International Financial Management</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180131</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企业价值评估</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Enterprise Value Assessment</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180132</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金融科技</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Financial Technology</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180133</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内部控制与公司治理</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Internal Control and Corporate Governance</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180142</w:t>
            </w:r>
          </w:p>
        </w:tc>
        <w:tc>
          <w:tcPr>
            <w:tcW w:w="5251" w:type="dxa"/>
            <w:gridSpan w:val="5"/>
            <w:vAlign w:val="center"/>
          </w:tcPr>
          <w:p>
            <w:pPr>
              <w:jc w:val="left"/>
              <w:rPr>
                <w:rFonts w:hint="default"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RPA财务机器人应用</w:t>
            </w:r>
          </w:p>
          <w:p>
            <w:pPr>
              <w:jc w:val="left"/>
              <w:rPr>
                <w:rFonts w:hint="default" w:ascii="Times New Roman" w:hAnsi="Times New Roman" w:eastAsia="宋体" w:cs="Times New Roman"/>
                <w:kern w:val="0"/>
                <w:sz w:val="18"/>
                <w:szCs w:val="18"/>
                <w:highlight w:val="yellow"/>
                <w:lang w:val="en-US" w:eastAsia="zh-CN"/>
              </w:rPr>
            </w:pPr>
            <w:r>
              <w:rPr>
                <w:rFonts w:hint="default" w:ascii="Times New Roman" w:hAnsi="Times New Roman" w:eastAsia="宋体" w:cs="Times New Roman"/>
                <w:kern w:val="0"/>
                <w:sz w:val="18"/>
                <w:szCs w:val="18"/>
                <w:highlight w:val="yellow"/>
                <w:lang w:val="en-US" w:eastAsia="zh-CN"/>
              </w:rPr>
              <w:t xml:space="preserve"> Application</w:t>
            </w:r>
            <w:r>
              <w:rPr>
                <w:rFonts w:hint="eastAsia" w:ascii="Times New Roman" w:hAnsi="Times New Roman" w:eastAsia="宋体" w:cs="Times New Roman"/>
                <w:kern w:val="0"/>
                <w:sz w:val="18"/>
                <w:szCs w:val="18"/>
                <w:highlight w:val="yellow"/>
                <w:lang w:val="en-US" w:eastAsia="zh-CN"/>
              </w:rPr>
              <w:t xml:space="preserve"> of </w:t>
            </w:r>
            <w:r>
              <w:rPr>
                <w:rFonts w:hint="default" w:ascii="Times New Roman" w:hAnsi="Times New Roman" w:eastAsia="宋体" w:cs="Times New Roman"/>
                <w:kern w:val="0"/>
                <w:sz w:val="18"/>
                <w:szCs w:val="18"/>
                <w:highlight w:val="yellow"/>
                <w:lang w:val="en-US" w:eastAsia="zh-CN"/>
              </w:rPr>
              <w:t xml:space="preserve">RPA </w:t>
            </w:r>
            <w:r>
              <w:rPr>
                <w:rFonts w:hint="eastAsia" w:ascii="Times New Roman" w:hAnsi="Times New Roman" w:eastAsia="宋体" w:cs="Times New Roman"/>
                <w:kern w:val="0"/>
                <w:sz w:val="18"/>
                <w:szCs w:val="18"/>
                <w:highlight w:val="yellow"/>
                <w:lang w:val="en-US" w:eastAsia="zh-CN"/>
              </w:rPr>
              <w:t>F</w:t>
            </w:r>
            <w:r>
              <w:rPr>
                <w:rFonts w:hint="default" w:ascii="Times New Roman" w:hAnsi="Times New Roman" w:eastAsia="宋体" w:cs="Times New Roman"/>
                <w:kern w:val="0"/>
                <w:sz w:val="18"/>
                <w:szCs w:val="18"/>
                <w:highlight w:val="yellow"/>
                <w:lang w:val="en-US" w:eastAsia="zh-CN"/>
              </w:rPr>
              <w:t xml:space="preserve">inancial </w:t>
            </w:r>
            <w:r>
              <w:rPr>
                <w:rFonts w:hint="eastAsia" w:ascii="Times New Roman" w:hAnsi="Times New Roman" w:eastAsia="宋体" w:cs="Times New Roman"/>
                <w:kern w:val="0"/>
                <w:sz w:val="18"/>
                <w:szCs w:val="18"/>
                <w:highlight w:val="yellow"/>
                <w:lang w:val="en-US" w:eastAsia="zh-CN"/>
              </w:rPr>
              <w:t>R</w:t>
            </w:r>
            <w:r>
              <w:rPr>
                <w:rFonts w:hint="default" w:ascii="Times New Roman" w:hAnsi="Times New Roman" w:eastAsia="宋体" w:cs="Times New Roman"/>
                <w:kern w:val="0"/>
                <w:sz w:val="18"/>
                <w:szCs w:val="18"/>
                <w:highlight w:val="yellow"/>
                <w:lang w:val="en-US" w:eastAsia="zh-CN"/>
              </w:rPr>
              <w:t>obot</w:t>
            </w:r>
          </w:p>
        </w:tc>
        <w:tc>
          <w:tcPr>
            <w:tcW w:w="513"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14"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634" w:type="dxa"/>
            <w:vMerge w:val="restart"/>
            <w:vAlign w:val="top"/>
          </w:tcPr>
          <w:p>
            <w:pPr>
              <w:pStyle w:val="5"/>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eastAsia="宋体" w:cs="宋体"/>
                <w:b/>
                <w:color w:val="000000"/>
                <w:kern w:val="0"/>
                <w:sz w:val="18"/>
                <w:szCs w:val="18"/>
                <w:lang w:val="en-US" w:eastAsia="zh-CN"/>
              </w:rPr>
            </w:pPr>
            <w:r>
              <w:rPr>
                <w:rFonts w:hint="eastAsia" w:cs="宋体"/>
                <w:b w:val="0"/>
                <w:bCs/>
                <w:color w:val="000000"/>
                <w:kern w:val="0"/>
                <w:sz w:val="18"/>
                <w:szCs w:val="18"/>
                <w:highlight w:val="yellow"/>
                <w:lang w:val="en-US" w:eastAsia="zh-CN"/>
              </w:rPr>
              <w:t>智能会计与智慧决策方向优先选择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180143</w:t>
            </w:r>
          </w:p>
        </w:tc>
        <w:tc>
          <w:tcPr>
            <w:tcW w:w="5251" w:type="dxa"/>
            <w:gridSpan w:val="5"/>
            <w:vAlign w:val="center"/>
          </w:tcPr>
          <w:p>
            <w:pPr>
              <w:jc w:val="left"/>
              <w:rPr>
                <w:rFonts w:hint="eastAsia"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大数据财务分析与决策</w:t>
            </w:r>
          </w:p>
          <w:p>
            <w:pPr>
              <w:jc w:val="left"/>
              <w:rPr>
                <w:rFonts w:hint="default" w:ascii="Times New Roman" w:hAnsi="Times New Roman" w:eastAsia="宋体" w:cs="Times New Roman"/>
                <w:kern w:val="0"/>
                <w:sz w:val="18"/>
                <w:szCs w:val="18"/>
                <w:lang w:val="en-US" w:eastAsia="zh-CN"/>
              </w:rPr>
            </w:pPr>
            <w:r>
              <w:rPr>
                <w:rFonts w:ascii="Times New Roman" w:hAnsi="Times New Roman" w:eastAsia="宋体" w:cs="Times New Roman"/>
                <w:kern w:val="0"/>
                <w:sz w:val="18"/>
                <w:szCs w:val="18"/>
                <w:highlight w:val="yellow"/>
              </w:rPr>
              <w:t xml:space="preserve">Big Gata Financial </w:t>
            </w:r>
            <w:r>
              <w:rPr>
                <w:rFonts w:hint="eastAsia" w:ascii="Times New Roman" w:hAnsi="Times New Roman" w:eastAsia="宋体" w:cs="Times New Roman"/>
                <w:kern w:val="0"/>
                <w:sz w:val="18"/>
                <w:szCs w:val="18"/>
                <w:highlight w:val="yellow"/>
                <w:lang w:val="en-US" w:eastAsia="zh-CN"/>
              </w:rPr>
              <w:t xml:space="preserve">Analysis and </w:t>
            </w:r>
            <w:r>
              <w:rPr>
                <w:rFonts w:ascii="Times New Roman" w:hAnsi="Times New Roman" w:eastAsia="宋体" w:cs="Times New Roman"/>
                <w:kern w:val="0"/>
                <w:sz w:val="18"/>
                <w:szCs w:val="18"/>
                <w:highlight w:val="yellow"/>
              </w:rPr>
              <w:t>Decision Making</w:t>
            </w:r>
          </w:p>
        </w:tc>
        <w:tc>
          <w:tcPr>
            <w:tcW w:w="513"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14"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rPr>
              <w:t>1801</w:t>
            </w:r>
            <w:r>
              <w:rPr>
                <w:rFonts w:hint="eastAsia" w:ascii="宋体" w:hAnsi="宋体" w:eastAsia="宋体" w:cs="宋体"/>
                <w:kern w:val="0"/>
                <w:sz w:val="18"/>
                <w:szCs w:val="18"/>
                <w:highlight w:val="yellow"/>
                <w:lang w:val="en-US" w:eastAsia="zh-CN"/>
              </w:rPr>
              <w:t>44</w:t>
            </w:r>
          </w:p>
        </w:tc>
        <w:tc>
          <w:tcPr>
            <w:tcW w:w="5251" w:type="dxa"/>
            <w:gridSpan w:val="5"/>
            <w:vAlign w:val="center"/>
          </w:tcPr>
          <w:p>
            <w:pPr>
              <w:jc w:val="left"/>
              <w:rPr>
                <w:rFonts w:hint="eastAsia"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数智化审计</w:t>
            </w:r>
          </w:p>
          <w:p>
            <w:pPr>
              <w:jc w:val="left"/>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highlight w:val="yellow"/>
              </w:rPr>
              <w:fldChar w:fldCharType="begin"/>
            </w:r>
            <w:r>
              <w:rPr>
                <w:rFonts w:hint="eastAsia" w:ascii="Times New Roman" w:hAnsi="Times New Roman" w:eastAsia="宋体" w:cs="Times New Roman"/>
                <w:kern w:val="0"/>
                <w:sz w:val="18"/>
                <w:szCs w:val="18"/>
                <w:highlight w:val="yellow"/>
              </w:rPr>
              <w:instrText xml:space="preserve"> HYPERLINK "javascript:;" </w:instrText>
            </w:r>
            <w:r>
              <w:rPr>
                <w:rFonts w:hint="eastAsia" w:ascii="Times New Roman" w:hAnsi="Times New Roman" w:eastAsia="宋体" w:cs="Times New Roman"/>
                <w:kern w:val="0"/>
                <w:sz w:val="18"/>
                <w:szCs w:val="18"/>
                <w:highlight w:val="yellow"/>
              </w:rPr>
              <w:fldChar w:fldCharType="separate"/>
            </w:r>
            <w:r>
              <w:rPr>
                <w:rFonts w:hint="eastAsia" w:ascii="Times New Roman" w:hAnsi="Times New Roman" w:eastAsia="宋体" w:cs="Times New Roman"/>
                <w:kern w:val="0"/>
                <w:sz w:val="18"/>
                <w:szCs w:val="18"/>
                <w:highlight w:val="yellow"/>
                <w:lang w:val="en-US" w:eastAsia="zh-CN"/>
              </w:rPr>
              <w:t>D</w:t>
            </w:r>
            <w:r>
              <w:rPr>
                <w:rFonts w:hint="eastAsia" w:ascii="Times New Roman" w:hAnsi="Times New Roman" w:eastAsia="宋体" w:cs="Times New Roman"/>
                <w:kern w:val="0"/>
                <w:sz w:val="18"/>
                <w:szCs w:val="18"/>
                <w:highlight w:val="yellow"/>
              </w:rPr>
              <w:t>igitized</w:t>
            </w:r>
            <w:r>
              <w:rPr>
                <w:rFonts w:hint="eastAsia" w:ascii="Times New Roman" w:hAnsi="Times New Roman" w:eastAsia="宋体" w:cs="Times New Roman"/>
                <w:kern w:val="0"/>
                <w:sz w:val="18"/>
                <w:szCs w:val="18"/>
                <w:highlight w:val="yellow"/>
              </w:rPr>
              <w:fldChar w:fldCharType="end"/>
            </w:r>
            <w:r>
              <w:rPr>
                <w:rFonts w:hint="eastAsia" w:ascii="Times New Roman" w:hAnsi="Times New Roman" w:eastAsia="宋体" w:cs="Times New Roman"/>
                <w:kern w:val="0"/>
                <w:sz w:val="18"/>
                <w:szCs w:val="18"/>
                <w:highlight w:val="yellow"/>
                <w:lang w:val="en-US" w:eastAsia="zh-CN"/>
              </w:rPr>
              <w:t xml:space="preserve"> and </w:t>
            </w:r>
            <w:r>
              <w:rPr>
                <w:rFonts w:hint="eastAsia" w:ascii="Times New Roman" w:hAnsi="Times New Roman" w:eastAsia="宋体" w:cs="Times New Roman"/>
                <w:kern w:val="0"/>
                <w:sz w:val="18"/>
                <w:szCs w:val="18"/>
                <w:highlight w:val="yellow"/>
                <w:lang w:val="en-US" w:eastAsia="zh-CN"/>
              </w:rPr>
              <w:fldChar w:fldCharType="begin"/>
            </w:r>
            <w:r>
              <w:rPr>
                <w:rFonts w:hint="eastAsia" w:ascii="Times New Roman" w:hAnsi="Times New Roman" w:eastAsia="宋体" w:cs="Times New Roman"/>
                <w:kern w:val="0"/>
                <w:sz w:val="18"/>
                <w:szCs w:val="18"/>
                <w:highlight w:val="yellow"/>
                <w:lang w:val="en-US" w:eastAsia="zh-CN"/>
              </w:rPr>
              <w:instrText xml:space="preserve"> HYPERLINK "javascript:;" </w:instrText>
            </w:r>
            <w:r>
              <w:rPr>
                <w:rFonts w:hint="eastAsia" w:ascii="Times New Roman" w:hAnsi="Times New Roman" w:eastAsia="宋体" w:cs="Times New Roman"/>
                <w:kern w:val="0"/>
                <w:sz w:val="18"/>
                <w:szCs w:val="18"/>
                <w:highlight w:val="yellow"/>
                <w:lang w:val="en-US" w:eastAsia="zh-CN"/>
              </w:rPr>
              <w:fldChar w:fldCharType="separate"/>
            </w:r>
            <w:r>
              <w:rPr>
                <w:rFonts w:hint="eastAsia" w:ascii="Times New Roman" w:hAnsi="Times New Roman" w:eastAsia="宋体" w:cs="Times New Roman"/>
                <w:kern w:val="0"/>
                <w:sz w:val="18"/>
                <w:szCs w:val="18"/>
                <w:highlight w:val="yellow"/>
                <w:lang w:val="en-US" w:eastAsia="zh-CN"/>
              </w:rPr>
              <w:t>Intelligentized</w:t>
            </w:r>
            <w:r>
              <w:rPr>
                <w:rFonts w:hint="eastAsia" w:ascii="Times New Roman" w:hAnsi="Times New Roman" w:eastAsia="宋体" w:cs="Times New Roman"/>
                <w:kern w:val="0"/>
                <w:sz w:val="18"/>
                <w:szCs w:val="18"/>
                <w:highlight w:val="yellow"/>
                <w:lang w:val="en-US" w:eastAsia="zh-CN"/>
              </w:rPr>
              <w:fldChar w:fldCharType="end"/>
            </w:r>
            <w:r>
              <w:rPr>
                <w:rFonts w:hint="eastAsia" w:ascii="Times New Roman" w:hAnsi="Times New Roman" w:eastAsia="宋体" w:cs="Times New Roman"/>
                <w:kern w:val="0"/>
                <w:sz w:val="18"/>
                <w:szCs w:val="18"/>
                <w:highlight w:val="yellow"/>
                <w:lang w:val="en-US" w:eastAsia="zh-CN"/>
              </w:rPr>
              <w:t xml:space="preserve"> Audit</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restart"/>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rPr>
              <w:t>1801</w:t>
            </w:r>
            <w:r>
              <w:rPr>
                <w:rFonts w:hint="eastAsia" w:ascii="宋体" w:hAnsi="宋体" w:eastAsia="宋体" w:cs="宋体"/>
                <w:kern w:val="0"/>
                <w:sz w:val="18"/>
                <w:szCs w:val="18"/>
                <w:highlight w:val="yellow"/>
                <w:lang w:val="en-US" w:eastAsia="zh-CN"/>
              </w:rPr>
              <w:t>45</w:t>
            </w:r>
          </w:p>
        </w:tc>
        <w:tc>
          <w:tcPr>
            <w:tcW w:w="5251" w:type="dxa"/>
            <w:gridSpan w:val="5"/>
            <w:vAlign w:val="center"/>
          </w:tcPr>
          <w:p>
            <w:pPr>
              <w:jc w:val="left"/>
              <w:rPr>
                <w:rFonts w:hint="default" w:ascii="Times New Roman" w:hAnsi="Times New Roman" w:eastAsia="宋体" w:cs="Times New Roman"/>
                <w:kern w:val="0"/>
                <w:sz w:val="18"/>
                <w:szCs w:val="18"/>
                <w:highlight w:val="yellow"/>
                <w:lang w:val="en-US" w:eastAsia="zh-CN"/>
              </w:rPr>
            </w:pPr>
            <w:r>
              <w:rPr>
                <w:rFonts w:ascii="Times New Roman" w:hAnsi="Times New Roman" w:eastAsia="宋体" w:cs="Times New Roman"/>
                <w:kern w:val="0"/>
                <w:sz w:val="18"/>
                <w:szCs w:val="18"/>
                <w:highlight w:val="yellow"/>
              </w:rPr>
              <w:t>财务共享</w:t>
            </w:r>
            <w:r>
              <w:rPr>
                <w:rFonts w:hint="eastAsia" w:ascii="Times New Roman" w:hAnsi="Times New Roman" w:eastAsia="宋体" w:cs="Times New Roman"/>
                <w:kern w:val="0"/>
                <w:sz w:val="18"/>
                <w:szCs w:val="18"/>
                <w:highlight w:val="yellow"/>
                <w:lang w:val="en-US" w:eastAsia="zh-CN"/>
              </w:rPr>
              <w:t>理论与实务</w:t>
            </w:r>
          </w:p>
          <w:p>
            <w:pPr>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highlight w:val="yellow"/>
                <w:lang w:val="en-US" w:eastAsia="zh-CN"/>
              </w:rPr>
              <w:t xml:space="preserve">Theory and Practice of </w:t>
            </w:r>
            <w:r>
              <w:rPr>
                <w:rFonts w:ascii="Times New Roman" w:hAnsi="Times New Roman" w:eastAsia="宋体" w:cs="Times New Roman"/>
                <w:kern w:val="0"/>
                <w:sz w:val="18"/>
                <w:szCs w:val="18"/>
                <w:highlight w:val="yellow"/>
              </w:rPr>
              <w:t>Financial Share</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180146</w:t>
            </w:r>
          </w:p>
        </w:tc>
        <w:tc>
          <w:tcPr>
            <w:tcW w:w="5251" w:type="dxa"/>
            <w:gridSpan w:val="5"/>
            <w:vAlign w:val="center"/>
          </w:tcPr>
          <w:p>
            <w:pPr>
              <w:jc w:val="left"/>
              <w:rPr>
                <w:rFonts w:hint="eastAsia"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机器学习</w:t>
            </w:r>
          </w:p>
          <w:p>
            <w:pPr>
              <w:jc w:val="left"/>
              <w:rPr>
                <w:rFonts w:hint="default" w:ascii="Times New Roman" w:hAnsi="Times New Roman" w:eastAsia="宋体" w:cs="Times New Roman"/>
                <w:kern w:val="0"/>
                <w:sz w:val="18"/>
                <w:szCs w:val="18"/>
                <w:highlight w:val="yellow"/>
                <w:lang w:val="en-US" w:eastAsia="zh-CN"/>
              </w:rPr>
            </w:pPr>
            <w:r>
              <w:rPr>
                <w:rFonts w:hint="default" w:ascii="Times New Roman" w:hAnsi="Times New Roman" w:eastAsia="宋体" w:cs="Times New Roman"/>
                <w:kern w:val="0"/>
                <w:sz w:val="18"/>
                <w:szCs w:val="18"/>
                <w:highlight w:val="yellow"/>
                <w:lang w:val="en-US" w:eastAsia="zh-CN"/>
              </w:rPr>
              <w:fldChar w:fldCharType="begin"/>
            </w:r>
            <w:r>
              <w:rPr>
                <w:rFonts w:hint="default" w:ascii="Times New Roman" w:hAnsi="Times New Roman" w:eastAsia="宋体" w:cs="Times New Roman"/>
                <w:kern w:val="0"/>
                <w:sz w:val="18"/>
                <w:szCs w:val="18"/>
                <w:highlight w:val="yellow"/>
                <w:lang w:val="en-US" w:eastAsia="zh-CN"/>
              </w:rPr>
              <w:instrText xml:space="preserve"> HYPERLINK "javascript:;" </w:instrText>
            </w:r>
            <w:r>
              <w:rPr>
                <w:rFonts w:hint="default" w:ascii="Times New Roman" w:hAnsi="Times New Roman" w:eastAsia="宋体" w:cs="Times New Roman"/>
                <w:kern w:val="0"/>
                <w:sz w:val="18"/>
                <w:szCs w:val="18"/>
                <w:highlight w:val="yellow"/>
                <w:lang w:val="en-US" w:eastAsia="zh-CN"/>
              </w:rPr>
              <w:fldChar w:fldCharType="separate"/>
            </w:r>
            <w:r>
              <w:rPr>
                <w:rFonts w:hint="eastAsia" w:ascii="Times New Roman" w:hAnsi="Times New Roman" w:eastAsia="宋体" w:cs="Times New Roman"/>
                <w:kern w:val="0"/>
                <w:sz w:val="18"/>
                <w:szCs w:val="18"/>
                <w:highlight w:val="yellow"/>
                <w:lang w:val="en-US" w:eastAsia="zh-CN"/>
              </w:rPr>
              <w:t>M</w:t>
            </w:r>
            <w:r>
              <w:rPr>
                <w:rFonts w:hint="default" w:ascii="Times New Roman" w:hAnsi="Times New Roman" w:eastAsia="宋体" w:cs="Times New Roman"/>
                <w:kern w:val="0"/>
                <w:sz w:val="18"/>
                <w:szCs w:val="18"/>
                <w:highlight w:val="yellow"/>
                <w:lang w:val="en-US" w:eastAsia="zh-CN"/>
              </w:rPr>
              <w:t xml:space="preserve">achine </w:t>
            </w:r>
            <w:r>
              <w:rPr>
                <w:rFonts w:hint="eastAsia" w:ascii="Times New Roman" w:hAnsi="Times New Roman" w:eastAsia="宋体" w:cs="Times New Roman"/>
                <w:kern w:val="0"/>
                <w:sz w:val="18"/>
                <w:szCs w:val="18"/>
                <w:highlight w:val="yellow"/>
                <w:lang w:val="en-US" w:eastAsia="zh-CN"/>
              </w:rPr>
              <w:t>L</w:t>
            </w:r>
            <w:r>
              <w:rPr>
                <w:rFonts w:hint="default" w:ascii="Times New Roman" w:hAnsi="Times New Roman" w:eastAsia="宋体" w:cs="Times New Roman"/>
                <w:kern w:val="0"/>
                <w:sz w:val="18"/>
                <w:szCs w:val="18"/>
                <w:highlight w:val="yellow"/>
                <w:lang w:val="en-US" w:eastAsia="zh-CN"/>
              </w:rPr>
              <w:t>earning</w:t>
            </w:r>
            <w:r>
              <w:rPr>
                <w:rFonts w:hint="default" w:ascii="Times New Roman" w:hAnsi="Times New Roman" w:eastAsia="宋体" w:cs="Times New Roman"/>
                <w:kern w:val="0"/>
                <w:sz w:val="18"/>
                <w:szCs w:val="18"/>
                <w:highlight w:val="yellow"/>
                <w:lang w:val="en-US" w:eastAsia="zh-CN"/>
              </w:rPr>
              <w:fldChar w:fldCharType="end"/>
            </w:r>
          </w:p>
        </w:tc>
        <w:tc>
          <w:tcPr>
            <w:tcW w:w="513"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14"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hint="eastAsia" w:ascii="宋体" w:hAnsi="宋体" w:eastAsia="宋体" w:cs="宋体"/>
                <w:kern w:val="0"/>
                <w:sz w:val="18"/>
                <w:szCs w:val="18"/>
                <w:highlight w:val="yellow"/>
                <w:lang w:val="en-US" w:eastAsia="zh-CN" w:bidi="ar-SA"/>
              </w:rPr>
            </w:pPr>
            <w:r>
              <w:rPr>
                <w:rFonts w:hint="eastAsia" w:ascii="宋体" w:hAnsi="宋体" w:eastAsia="宋体" w:cs="宋体"/>
                <w:kern w:val="0"/>
                <w:sz w:val="18"/>
                <w:szCs w:val="18"/>
                <w:highlight w:val="yellow"/>
              </w:rPr>
              <w:t>180</w:t>
            </w:r>
            <w:r>
              <w:rPr>
                <w:rFonts w:hint="eastAsia" w:ascii="宋体" w:hAnsi="宋体" w:eastAsia="宋体" w:cs="宋体"/>
                <w:kern w:val="0"/>
                <w:sz w:val="18"/>
                <w:szCs w:val="18"/>
                <w:highlight w:val="yellow"/>
                <w:lang w:val="en-US" w:eastAsia="zh-CN"/>
              </w:rPr>
              <w:t>147</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信息系统与信息资源管理</w:t>
            </w:r>
          </w:p>
          <w:p>
            <w:pPr>
              <w:jc w:val="left"/>
              <w:rPr>
                <w:rFonts w:hint="default"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Information System and Information Resource Management (A)</w:t>
            </w:r>
          </w:p>
        </w:tc>
        <w:tc>
          <w:tcPr>
            <w:tcW w:w="513" w:type="dxa"/>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t>
            </w:r>
          </w:p>
        </w:tc>
        <w:tc>
          <w:tcPr>
            <w:tcW w:w="514" w:type="dxa"/>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180148</w:t>
            </w:r>
          </w:p>
        </w:tc>
        <w:tc>
          <w:tcPr>
            <w:tcW w:w="5251" w:type="dxa"/>
            <w:gridSpan w:val="5"/>
            <w:vAlign w:val="center"/>
          </w:tcPr>
          <w:p>
            <w:pPr>
              <w:jc w:val="left"/>
              <w:rPr>
                <w:rFonts w:hint="default"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自然语言处理与文本挖掘</w:t>
            </w:r>
          </w:p>
          <w:p>
            <w:pPr>
              <w:jc w:val="left"/>
              <w:rPr>
                <w:rFonts w:hint="default" w:ascii="Times New Roman" w:hAnsi="Times New Roman" w:eastAsia="宋体" w:cs="Times New Roman"/>
                <w:kern w:val="0"/>
                <w:sz w:val="18"/>
                <w:szCs w:val="18"/>
                <w:highlight w:val="yellow"/>
                <w:lang w:val="en-US" w:eastAsia="zh-CN"/>
              </w:rPr>
            </w:pPr>
            <w:r>
              <w:rPr>
                <w:rFonts w:hint="default" w:ascii="Times New Roman" w:hAnsi="Times New Roman" w:eastAsia="宋体" w:cs="Times New Roman"/>
                <w:kern w:val="0"/>
                <w:sz w:val="18"/>
                <w:szCs w:val="18"/>
                <w:highlight w:val="yellow"/>
                <w:lang w:val="en-US" w:eastAsia="zh-CN"/>
              </w:rPr>
              <w:t xml:space="preserve">Natural </w:t>
            </w:r>
            <w:r>
              <w:rPr>
                <w:rFonts w:hint="eastAsia" w:ascii="Times New Roman" w:hAnsi="Times New Roman" w:eastAsia="宋体" w:cs="Times New Roman"/>
                <w:kern w:val="0"/>
                <w:sz w:val="18"/>
                <w:szCs w:val="18"/>
                <w:highlight w:val="yellow"/>
                <w:lang w:val="en-US" w:eastAsia="zh-CN"/>
              </w:rPr>
              <w:t>L</w:t>
            </w:r>
            <w:r>
              <w:rPr>
                <w:rFonts w:hint="default" w:ascii="Times New Roman" w:hAnsi="Times New Roman" w:eastAsia="宋体" w:cs="Times New Roman"/>
                <w:kern w:val="0"/>
                <w:sz w:val="18"/>
                <w:szCs w:val="18"/>
                <w:highlight w:val="yellow"/>
                <w:lang w:val="en-US" w:eastAsia="zh-CN"/>
              </w:rPr>
              <w:t xml:space="preserve">anguage </w:t>
            </w:r>
            <w:r>
              <w:rPr>
                <w:rFonts w:hint="eastAsia" w:ascii="Times New Roman" w:hAnsi="Times New Roman" w:eastAsia="宋体" w:cs="Times New Roman"/>
                <w:kern w:val="0"/>
                <w:sz w:val="18"/>
                <w:szCs w:val="18"/>
                <w:highlight w:val="yellow"/>
                <w:lang w:val="en-US" w:eastAsia="zh-CN"/>
              </w:rPr>
              <w:t>P</w:t>
            </w:r>
            <w:r>
              <w:rPr>
                <w:rFonts w:hint="default" w:ascii="Times New Roman" w:hAnsi="Times New Roman" w:eastAsia="宋体" w:cs="Times New Roman"/>
                <w:kern w:val="0"/>
                <w:sz w:val="18"/>
                <w:szCs w:val="18"/>
                <w:highlight w:val="yellow"/>
                <w:lang w:val="en-US" w:eastAsia="zh-CN"/>
              </w:rPr>
              <w:t xml:space="preserve">rocessing and </w:t>
            </w:r>
            <w:r>
              <w:rPr>
                <w:rFonts w:hint="eastAsia" w:ascii="Times New Roman" w:hAnsi="Times New Roman" w:eastAsia="宋体" w:cs="Times New Roman"/>
                <w:kern w:val="0"/>
                <w:sz w:val="18"/>
                <w:szCs w:val="18"/>
                <w:highlight w:val="yellow"/>
                <w:lang w:val="en-US" w:eastAsia="zh-CN"/>
              </w:rPr>
              <w:t>T</w:t>
            </w:r>
            <w:r>
              <w:rPr>
                <w:rFonts w:hint="default" w:ascii="Times New Roman" w:hAnsi="Times New Roman" w:eastAsia="宋体" w:cs="Times New Roman"/>
                <w:kern w:val="0"/>
                <w:sz w:val="18"/>
                <w:szCs w:val="18"/>
                <w:highlight w:val="yellow"/>
                <w:lang w:val="en-US" w:eastAsia="zh-CN"/>
              </w:rPr>
              <w:t xml:space="preserve">ext </w:t>
            </w:r>
            <w:r>
              <w:rPr>
                <w:rFonts w:hint="eastAsia" w:ascii="Times New Roman" w:hAnsi="Times New Roman" w:eastAsia="宋体" w:cs="Times New Roman"/>
                <w:kern w:val="0"/>
                <w:sz w:val="18"/>
                <w:szCs w:val="18"/>
                <w:highlight w:val="yellow"/>
                <w:lang w:val="en-US" w:eastAsia="zh-CN"/>
              </w:rPr>
              <w:t>M</w:t>
            </w:r>
            <w:r>
              <w:rPr>
                <w:rFonts w:hint="default" w:ascii="Times New Roman" w:hAnsi="Times New Roman" w:eastAsia="宋体" w:cs="Times New Roman"/>
                <w:kern w:val="0"/>
                <w:sz w:val="18"/>
                <w:szCs w:val="18"/>
                <w:highlight w:val="yellow"/>
                <w:lang w:val="en-US" w:eastAsia="zh-CN"/>
              </w:rPr>
              <w:t>ining</w:t>
            </w:r>
          </w:p>
        </w:tc>
        <w:tc>
          <w:tcPr>
            <w:tcW w:w="513" w:type="dxa"/>
            <w:vAlign w:val="center"/>
          </w:tcPr>
          <w:p>
            <w:pPr>
              <w:jc w:val="center"/>
              <w:rPr>
                <w:rFonts w:hint="eastAsia"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2</w:t>
            </w:r>
          </w:p>
        </w:tc>
        <w:tc>
          <w:tcPr>
            <w:tcW w:w="514" w:type="dxa"/>
            <w:vAlign w:val="center"/>
          </w:tcPr>
          <w:p>
            <w:pPr>
              <w:jc w:val="center"/>
              <w:rPr>
                <w:rFonts w:hint="eastAsia"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4" w:type="dxa"/>
            <w:gridSpan w:val="2"/>
            <w:vMerge w:val="restart"/>
            <w:vAlign w:val="center"/>
          </w:tcPr>
          <w:p>
            <w:pPr>
              <w:pStyle w:val="5"/>
              <w:spacing w:line="240" w:lineRule="auto"/>
              <w:ind w:firstLine="0" w:firstLineChars="0"/>
              <w:jc w:val="center"/>
              <w:rPr>
                <w:rFonts w:cs="宋体"/>
                <w:b/>
                <w:color w:val="000000"/>
                <w:kern w:val="0"/>
                <w:sz w:val="18"/>
                <w:szCs w:val="18"/>
              </w:rPr>
            </w:pPr>
            <w:r>
              <w:rPr>
                <w:rFonts w:hint="eastAsia" w:cs="宋体"/>
                <w:b/>
                <w:color w:val="000000"/>
                <w:kern w:val="0"/>
                <w:sz w:val="18"/>
                <w:szCs w:val="18"/>
              </w:rPr>
              <w:t>素养选修课程</w:t>
            </w:r>
          </w:p>
          <w:p>
            <w:pPr>
              <w:pStyle w:val="5"/>
              <w:spacing w:line="240" w:lineRule="auto"/>
              <w:ind w:firstLine="0" w:firstLineChars="0"/>
              <w:jc w:val="center"/>
              <w:rPr>
                <w:rFonts w:cs="宋体"/>
                <w:kern w:val="0"/>
                <w:sz w:val="18"/>
                <w:szCs w:val="18"/>
              </w:rPr>
            </w:pPr>
            <w:r>
              <w:rPr>
                <w:rFonts w:hint="eastAsia" w:cs="宋体"/>
                <w:kern w:val="0"/>
                <w:sz w:val="18"/>
                <w:szCs w:val="18"/>
              </w:rPr>
              <w:t>（1学分）</w:t>
            </w:r>
          </w:p>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G05024</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计算机科学前沿技术应用系列讲座</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The Lectures on the Frontier Technology and Application of the Computer Science</w:t>
            </w:r>
          </w:p>
        </w:tc>
        <w:tc>
          <w:tcPr>
            <w:tcW w:w="513" w:type="dxa"/>
            <w:vAlign w:val="center"/>
          </w:tcPr>
          <w:p>
            <w:pPr>
              <w:jc w:val="center"/>
              <w:rPr>
                <w:rFonts w:ascii="宋体" w:hAnsi="宋体" w:eastAsia="宋体" w:cs="宋体"/>
                <w:color w:val="000000"/>
                <w:kern w:val="0"/>
                <w:sz w:val="18"/>
                <w:szCs w:val="18"/>
              </w:rPr>
            </w:pPr>
            <w:r>
              <w:rPr>
                <w:rFonts w:hint="eastAsia" w:ascii="宋体" w:hAnsi="宋体" w:eastAsia="宋体" w:cs="宋体"/>
                <w:kern w:val="0"/>
                <w:sz w:val="18"/>
                <w:szCs w:val="18"/>
              </w:rPr>
              <w:t>1</w:t>
            </w:r>
          </w:p>
        </w:tc>
        <w:tc>
          <w:tcPr>
            <w:tcW w:w="514" w:type="dxa"/>
            <w:vAlign w:val="center"/>
          </w:tcPr>
          <w:p>
            <w:pPr>
              <w:jc w:val="center"/>
              <w:rPr>
                <w:rFonts w:ascii="宋体" w:hAnsi="宋体" w:eastAsia="宋体" w:cs="宋体"/>
                <w:color w:val="000000"/>
                <w:kern w:val="0"/>
                <w:sz w:val="18"/>
                <w:szCs w:val="18"/>
              </w:rPr>
            </w:pPr>
            <w:r>
              <w:rPr>
                <w:rFonts w:hint="eastAsia" w:ascii="宋体" w:hAnsi="宋体" w:eastAsia="宋体" w:cs="宋体"/>
                <w:kern w:val="0"/>
                <w:sz w:val="18"/>
                <w:szCs w:val="18"/>
              </w:rPr>
              <w:t>2</w:t>
            </w:r>
          </w:p>
        </w:tc>
        <w:tc>
          <w:tcPr>
            <w:tcW w:w="634" w:type="dxa"/>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4" w:type="dxa"/>
            <w:gridSpan w:val="2"/>
            <w:vMerge w:val="continue"/>
            <w:vAlign w:val="center"/>
          </w:tcPr>
          <w:p>
            <w:pPr>
              <w:pStyle w:val="5"/>
              <w:spacing w:line="240" w:lineRule="auto"/>
              <w:ind w:firstLine="0" w:firstLineChars="0"/>
              <w:jc w:val="center"/>
              <w:rPr>
                <w:rFonts w:cs="宋体"/>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G31001</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中国传统文化</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Chinese Traditional Culture</w:t>
            </w:r>
          </w:p>
        </w:tc>
        <w:tc>
          <w:tcPr>
            <w:tcW w:w="513" w:type="dxa"/>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14" w:type="dxa"/>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634" w:type="dxa"/>
            <w:vMerge w:val="restart"/>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G13043</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中国古代韵文阅读与欣赏</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Reading and appreciating of Ancient Chinese Rhymes</w:t>
            </w:r>
          </w:p>
        </w:tc>
        <w:tc>
          <w:tcPr>
            <w:tcW w:w="513" w:type="dxa"/>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14" w:type="dxa"/>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G13042</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诗歌与审美艺术</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Poetry and Aesthetic Art</w:t>
            </w:r>
          </w:p>
        </w:tc>
        <w:tc>
          <w:tcPr>
            <w:tcW w:w="513" w:type="dxa"/>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14" w:type="dxa"/>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G14010</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科技英语写作</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Scientific English Writing</w:t>
            </w:r>
          </w:p>
        </w:tc>
        <w:tc>
          <w:tcPr>
            <w:tcW w:w="513" w:type="dxa"/>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14" w:type="dxa"/>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G19002</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美术鉴赏</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Art Appreciation</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restart"/>
            <w:vAlign w:val="center"/>
          </w:tcPr>
          <w:p>
            <w:pPr>
              <w:pStyle w:val="5"/>
              <w:spacing w:line="240" w:lineRule="auto"/>
              <w:ind w:firstLine="0" w:firstLineChars="0"/>
              <w:jc w:val="center"/>
              <w:rPr>
                <w:rFonts w:cs="宋体"/>
                <w:b/>
                <w:color w:val="000000"/>
                <w:kern w:val="0"/>
                <w:sz w:val="18"/>
                <w:szCs w:val="18"/>
              </w:rPr>
            </w:pPr>
            <w:r>
              <w:rPr>
                <w:rFonts w:hint="eastAsia" w:cs="宋体"/>
                <w:b/>
                <w:color w:val="000000"/>
                <w:kern w:val="0"/>
                <w:sz w:val="18"/>
                <w:szCs w:val="18"/>
              </w:rPr>
              <w:t>补修课程</w:t>
            </w:r>
          </w:p>
          <w:p>
            <w:pPr>
              <w:pStyle w:val="5"/>
              <w:spacing w:line="240" w:lineRule="auto"/>
              <w:ind w:firstLine="0" w:firstLineChars="0"/>
              <w:jc w:val="center"/>
              <w:rPr>
                <w:rFonts w:cs="宋体"/>
                <w:color w:val="000000"/>
                <w:kern w:val="0"/>
                <w:sz w:val="18"/>
                <w:szCs w:val="18"/>
              </w:rPr>
            </w:pPr>
            <w:r>
              <w:rPr>
                <w:rFonts w:hint="eastAsia" w:cs="宋体"/>
                <w:color w:val="000000"/>
                <w:kern w:val="0"/>
                <w:sz w:val="18"/>
                <w:szCs w:val="18"/>
              </w:rPr>
              <w:t>（不计学分）</w:t>
            </w:r>
          </w:p>
        </w:tc>
        <w:tc>
          <w:tcPr>
            <w:tcW w:w="1011" w:type="dxa"/>
            <w:gridSpan w:val="2"/>
            <w:vAlign w:val="center"/>
          </w:tcPr>
          <w:p>
            <w:pPr>
              <w:pStyle w:val="5"/>
              <w:spacing w:line="240" w:lineRule="auto"/>
              <w:ind w:firstLine="361"/>
              <w:jc w:val="center"/>
              <w:rPr>
                <w:rFonts w:cs="宋体"/>
                <w:b/>
                <w:color w:val="000000"/>
                <w:kern w:val="0"/>
                <w:sz w:val="18"/>
                <w:szCs w:val="18"/>
              </w:rPr>
            </w:pPr>
          </w:p>
        </w:tc>
        <w:tc>
          <w:tcPr>
            <w:tcW w:w="5251" w:type="dxa"/>
            <w:gridSpan w:val="5"/>
            <w:shd w:val="clear" w:color="auto" w:fill="auto"/>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财务会计</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Financial Accounting</w:t>
            </w:r>
          </w:p>
        </w:tc>
        <w:tc>
          <w:tcPr>
            <w:tcW w:w="513" w:type="dxa"/>
            <w:vAlign w:val="center"/>
          </w:tcPr>
          <w:p>
            <w:pPr>
              <w:pStyle w:val="5"/>
              <w:spacing w:line="240" w:lineRule="auto"/>
              <w:ind w:firstLine="361"/>
              <w:jc w:val="center"/>
              <w:rPr>
                <w:rFonts w:cs="宋体"/>
                <w:b/>
                <w:color w:val="000000"/>
                <w:kern w:val="0"/>
                <w:sz w:val="18"/>
                <w:szCs w:val="18"/>
              </w:rPr>
            </w:pPr>
          </w:p>
        </w:tc>
        <w:tc>
          <w:tcPr>
            <w:tcW w:w="514" w:type="dxa"/>
            <w:vAlign w:val="center"/>
          </w:tcPr>
          <w:p>
            <w:pPr>
              <w:pStyle w:val="5"/>
              <w:spacing w:line="240" w:lineRule="auto"/>
              <w:ind w:firstLine="361"/>
              <w:jc w:val="center"/>
              <w:rPr>
                <w:rFonts w:cs="宋体"/>
                <w:b/>
                <w:color w:val="000000"/>
                <w:kern w:val="0"/>
                <w:sz w:val="18"/>
                <w:szCs w:val="18"/>
              </w:rPr>
            </w:pPr>
          </w:p>
        </w:tc>
        <w:tc>
          <w:tcPr>
            <w:tcW w:w="634" w:type="dxa"/>
            <w:vMerge w:val="restart"/>
            <w:vAlign w:val="center"/>
          </w:tcPr>
          <w:p>
            <w:pPr>
              <w:pStyle w:val="5"/>
              <w:spacing w:line="240" w:lineRule="auto"/>
              <w:ind w:firstLine="0" w:firstLineChars="0"/>
              <w:jc w:val="center"/>
              <w:rPr>
                <w:rFonts w:cs="宋体"/>
                <w:color w:val="000000"/>
                <w:kern w:val="0"/>
                <w:sz w:val="18"/>
                <w:szCs w:val="18"/>
              </w:rPr>
            </w:pPr>
            <w:r>
              <w:rPr>
                <w:rFonts w:hint="eastAsia" w:cs="宋体"/>
                <w:color w:val="000000"/>
                <w:kern w:val="0"/>
                <w:sz w:val="18"/>
                <w:szCs w:val="18"/>
              </w:rPr>
              <w:t>学院确定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pStyle w:val="5"/>
              <w:spacing w:line="240" w:lineRule="auto"/>
              <w:ind w:firstLine="361"/>
              <w:jc w:val="center"/>
              <w:rPr>
                <w:rFonts w:cs="宋体"/>
                <w:b/>
                <w:color w:val="000000"/>
                <w:kern w:val="0"/>
                <w:sz w:val="18"/>
                <w:szCs w:val="18"/>
              </w:rPr>
            </w:pPr>
          </w:p>
        </w:tc>
        <w:tc>
          <w:tcPr>
            <w:tcW w:w="5251" w:type="dxa"/>
            <w:gridSpan w:val="5"/>
            <w:shd w:val="clear" w:color="auto" w:fill="auto"/>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财务管理</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Financial Management</w:t>
            </w:r>
          </w:p>
        </w:tc>
        <w:tc>
          <w:tcPr>
            <w:tcW w:w="513" w:type="dxa"/>
            <w:vAlign w:val="center"/>
          </w:tcPr>
          <w:p>
            <w:pPr>
              <w:pStyle w:val="5"/>
              <w:spacing w:line="240" w:lineRule="auto"/>
              <w:ind w:firstLine="361"/>
              <w:jc w:val="center"/>
              <w:rPr>
                <w:rFonts w:cs="宋体"/>
                <w:b/>
                <w:color w:val="000000"/>
                <w:kern w:val="0"/>
                <w:sz w:val="18"/>
                <w:szCs w:val="18"/>
              </w:rPr>
            </w:pPr>
          </w:p>
        </w:tc>
        <w:tc>
          <w:tcPr>
            <w:tcW w:w="514" w:type="dxa"/>
            <w:vAlign w:val="center"/>
          </w:tcPr>
          <w:p>
            <w:pPr>
              <w:pStyle w:val="5"/>
              <w:spacing w:line="240" w:lineRule="auto"/>
              <w:ind w:firstLine="361"/>
              <w:jc w:val="center"/>
              <w:rPr>
                <w:rFonts w:cs="宋体"/>
                <w:b/>
                <w:color w:val="000000"/>
                <w:kern w:val="0"/>
                <w:sz w:val="18"/>
                <w:szCs w:val="18"/>
              </w:rPr>
            </w:pPr>
          </w:p>
        </w:tc>
        <w:tc>
          <w:tcPr>
            <w:tcW w:w="634" w:type="dxa"/>
            <w:vMerge w:val="continue"/>
          </w:tcPr>
          <w:p>
            <w:pPr>
              <w:pStyle w:val="5"/>
              <w:spacing w:line="240" w:lineRule="auto"/>
              <w:ind w:firstLine="361"/>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pStyle w:val="5"/>
              <w:spacing w:line="240" w:lineRule="auto"/>
              <w:ind w:firstLine="361"/>
              <w:jc w:val="center"/>
              <w:rPr>
                <w:rFonts w:cs="宋体"/>
                <w:b/>
                <w:color w:val="000000"/>
                <w:kern w:val="0"/>
                <w:sz w:val="18"/>
                <w:szCs w:val="18"/>
              </w:rPr>
            </w:pPr>
          </w:p>
        </w:tc>
        <w:tc>
          <w:tcPr>
            <w:tcW w:w="5251" w:type="dxa"/>
            <w:gridSpan w:val="5"/>
            <w:shd w:val="clear" w:color="auto" w:fill="auto"/>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审计学</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Auditing</w:t>
            </w:r>
          </w:p>
        </w:tc>
        <w:tc>
          <w:tcPr>
            <w:tcW w:w="513" w:type="dxa"/>
            <w:vAlign w:val="center"/>
          </w:tcPr>
          <w:p>
            <w:pPr>
              <w:pStyle w:val="5"/>
              <w:spacing w:line="240" w:lineRule="auto"/>
              <w:ind w:firstLine="361"/>
              <w:jc w:val="center"/>
              <w:rPr>
                <w:rFonts w:cs="宋体"/>
                <w:b/>
                <w:color w:val="000000"/>
                <w:kern w:val="0"/>
                <w:sz w:val="18"/>
                <w:szCs w:val="18"/>
              </w:rPr>
            </w:pPr>
          </w:p>
        </w:tc>
        <w:tc>
          <w:tcPr>
            <w:tcW w:w="514" w:type="dxa"/>
            <w:vAlign w:val="center"/>
          </w:tcPr>
          <w:p>
            <w:pPr>
              <w:pStyle w:val="5"/>
              <w:spacing w:line="240" w:lineRule="auto"/>
              <w:ind w:firstLine="361"/>
              <w:jc w:val="center"/>
              <w:rPr>
                <w:rFonts w:cs="宋体"/>
                <w:b/>
                <w:color w:val="000000"/>
                <w:kern w:val="0"/>
                <w:sz w:val="18"/>
                <w:szCs w:val="18"/>
              </w:rPr>
            </w:pPr>
          </w:p>
        </w:tc>
        <w:tc>
          <w:tcPr>
            <w:tcW w:w="634" w:type="dxa"/>
            <w:vMerge w:val="continue"/>
          </w:tcPr>
          <w:p>
            <w:pPr>
              <w:pStyle w:val="5"/>
              <w:spacing w:line="240" w:lineRule="auto"/>
              <w:ind w:firstLine="361"/>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357" w:type="dxa"/>
            <w:gridSpan w:val="12"/>
            <w:vAlign w:val="center"/>
          </w:tcPr>
          <w:p>
            <w:pPr>
              <w:pStyle w:val="5"/>
              <w:spacing w:line="240" w:lineRule="auto"/>
              <w:ind w:firstLine="361"/>
              <w:jc w:val="center"/>
              <w:rPr>
                <w:rFonts w:cs="宋体"/>
                <w:b/>
                <w:color w:val="000000"/>
                <w:kern w:val="0"/>
                <w:sz w:val="18"/>
                <w:szCs w:val="18"/>
              </w:rPr>
            </w:pPr>
            <w:r>
              <w:rPr>
                <w:rFonts w:hint="eastAsia" w:cs="宋体"/>
                <w:b/>
                <w:color w:val="000000"/>
                <w:kern w:val="0"/>
                <w:sz w:val="18"/>
                <w:szCs w:val="18"/>
              </w:rPr>
              <w:t>其他培养环节</w:t>
            </w:r>
            <w:r>
              <w:rPr>
                <w:rFonts w:hint="eastAsia" w:cs="宋体"/>
                <w:color w:val="000000"/>
                <w:kern w:val="0"/>
                <w:sz w:val="18"/>
                <w:szCs w:val="18"/>
              </w:rPr>
              <w:t>（1</w:t>
            </w:r>
            <w:r>
              <w:rPr>
                <w:rFonts w:hint="eastAsia" w:cs="宋体"/>
                <w:color w:val="000000"/>
                <w:kern w:val="0"/>
                <w:sz w:val="18"/>
                <w:szCs w:val="18"/>
                <w:lang w:val="en-US" w:eastAsia="zh-CN"/>
              </w:rPr>
              <w:t>2</w:t>
            </w:r>
            <w:r>
              <w:rPr>
                <w:rFonts w:hint="eastAsia" w:cs="宋体"/>
                <w:color w:val="000000"/>
                <w:kern w:val="0"/>
                <w:sz w:val="18"/>
                <w:szCs w:val="1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51" w:type="dxa"/>
            <w:vAlign w:val="center"/>
          </w:tcPr>
          <w:p>
            <w:pPr>
              <w:pStyle w:val="5"/>
              <w:spacing w:line="240" w:lineRule="auto"/>
              <w:ind w:firstLine="0" w:firstLineChars="0"/>
              <w:jc w:val="center"/>
              <w:rPr>
                <w:rFonts w:cs="宋体"/>
                <w:color w:val="000000"/>
                <w:kern w:val="0"/>
                <w:sz w:val="18"/>
                <w:szCs w:val="18"/>
              </w:rPr>
            </w:pPr>
            <w:r>
              <w:rPr>
                <w:rFonts w:hint="eastAsia" w:cs="宋体"/>
                <w:b/>
                <w:color w:val="000000"/>
                <w:kern w:val="0"/>
                <w:sz w:val="18"/>
                <w:szCs w:val="18"/>
              </w:rPr>
              <w:t>培养环节</w:t>
            </w:r>
          </w:p>
        </w:tc>
        <w:tc>
          <w:tcPr>
            <w:tcW w:w="7472" w:type="dxa"/>
            <w:gridSpan w:val="10"/>
            <w:vAlign w:val="center"/>
          </w:tcPr>
          <w:p>
            <w:pPr>
              <w:pStyle w:val="5"/>
              <w:spacing w:line="240" w:lineRule="auto"/>
              <w:ind w:firstLine="361"/>
              <w:jc w:val="center"/>
              <w:rPr>
                <w:rFonts w:cs="宋体"/>
                <w:b/>
                <w:color w:val="000000"/>
                <w:kern w:val="0"/>
                <w:sz w:val="18"/>
                <w:szCs w:val="18"/>
              </w:rPr>
            </w:pPr>
            <w:r>
              <w:rPr>
                <w:rFonts w:hint="eastAsia" w:cs="宋体"/>
                <w:b/>
                <w:color w:val="000000"/>
                <w:kern w:val="0"/>
                <w:sz w:val="18"/>
                <w:szCs w:val="18"/>
              </w:rPr>
              <w:t>相关内容及要求</w:t>
            </w:r>
          </w:p>
        </w:tc>
        <w:tc>
          <w:tcPr>
            <w:tcW w:w="634" w:type="dxa"/>
            <w:vAlign w:val="center"/>
          </w:tcPr>
          <w:p>
            <w:pPr>
              <w:pStyle w:val="5"/>
              <w:spacing w:line="240" w:lineRule="auto"/>
              <w:ind w:firstLine="0" w:firstLineChars="0"/>
              <w:rPr>
                <w:rFonts w:cs="宋体"/>
                <w:b/>
                <w:color w:val="000000"/>
                <w:kern w:val="0"/>
                <w:sz w:val="18"/>
                <w:szCs w:val="18"/>
              </w:rPr>
            </w:pPr>
            <w:r>
              <w:rPr>
                <w:rFonts w:hint="eastAsia" w:cs="宋体"/>
                <w:b/>
                <w:color w:val="000000"/>
                <w:kern w:val="0"/>
                <w:sz w:val="18"/>
                <w:szCs w:val="18"/>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51" w:type="dxa"/>
            <w:vAlign w:val="center"/>
          </w:tcPr>
          <w:p>
            <w:pPr>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开题报告</w:t>
            </w:r>
          </w:p>
          <w:p>
            <w:pPr>
              <w:jc w:val="center"/>
              <w:rPr>
                <w:rFonts w:ascii="宋体" w:hAnsi="宋体" w:eastAsia="宋体" w:cs="宋体"/>
                <w:kern w:val="0"/>
                <w:sz w:val="18"/>
                <w:szCs w:val="18"/>
              </w:rPr>
            </w:pPr>
            <w:r>
              <w:rPr>
                <w:rFonts w:hint="eastAsia" w:ascii="宋体" w:hAnsi="宋体" w:eastAsia="宋体" w:cs="宋体"/>
                <w:kern w:val="0"/>
                <w:sz w:val="18"/>
                <w:szCs w:val="18"/>
              </w:rPr>
              <w:t>（1学分）</w:t>
            </w:r>
          </w:p>
        </w:tc>
        <w:tc>
          <w:tcPr>
            <w:tcW w:w="7472" w:type="dxa"/>
            <w:gridSpan w:val="10"/>
            <w:vAlign w:val="center"/>
          </w:tcPr>
          <w:p>
            <w:pPr>
              <w:pStyle w:val="5"/>
              <w:spacing w:line="240" w:lineRule="auto"/>
              <w:ind w:firstLine="360"/>
              <w:rPr>
                <w:rFonts w:cs="宋体"/>
                <w:color w:val="000000"/>
                <w:kern w:val="0"/>
                <w:sz w:val="18"/>
                <w:szCs w:val="18"/>
              </w:rPr>
            </w:pPr>
            <w:r>
              <w:rPr>
                <w:rFonts w:hint="eastAsia" w:cs="宋体"/>
                <w:color w:val="000000"/>
                <w:kern w:val="0"/>
                <w:sz w:val="18"/>
                <w:szCs w:val="18"/>
              </w:rPr>
              <w:t>第3学期末提交开题报告并通过开题。</w:t>
            </w:r>
          </w:p>
        </w:tc>
        <w:tc>
          <w:tcPr>
            <w:tcW w:w="63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51" w:type="dxa"/>
            <w:vAlign w:val="center"/>
          </w:tcPr>
          <w:p>
            <w:pPr>
              <w:jc w:val="center"/>
              <w:rPr>
                <w:rFonts w:hint="eastAsia" w:ascii="宋体" w:hAnsi="宋体" w:eastAsia="宋体" w:cs="宋体"/>
                <w:b/>
                <w:color w:val="000000"/>
                <w:kern w:val="0"/>
                <w:sz w:val="18"/>
                <w:szCs w:val="18"/>
                <w:lang w:val="en-US" w:eastAsia="zh-CN"/>
              </w:rPr>
            </w:pPr>
            <w:r>
              <w:rPr>
                <w:rFonts w:hint="eastAsia" w:ascii="宋体" w:hAnsi="宋体" w:eastAsia="宋体" w:cs="宋体"/>
                <w:b/>
                <w:color w:val="000000"/>
                <w:kern w:val="0"/>
                <w:sz w:val="18"/>
                <w:szCs w:val="18"/>
              </w:rPr>
              <w:t>中期</w:t>
            </w:r>
            <w:r>
              <w:rPr>
                <w:rFonts w:hint="eastAsia" w:ascii="宋体" w:hAnsi="宋体" w:eastAsia="宋体" w:cs="宋体"/>
                <w:b/>
                <w:color w:val="000000"/>
                <w:kern w:val="0"/>
                <w:sz w:val="18"/>
                <w:szCs w:val="18"/>
                <w:lang w:val="en-US" w:eastAsia="zh-CN"/>
              </w:rPr>
              <w:t>筛选</w:t>
            </w:r>
          </w:p>
          <w:p>
            <w:pPr>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考核</w:t>
            </w:r>
          </w:p>
          <w:p>
            <w:pPr>
              <w:jc w:val="center"/>
              <w:rPr>
                <w:rFonts w:ascii="宋体" w:hAnsi="宋体" w:eastAsia="宋体" w:cs="宋体"/>
                <w:kern w:val="0"/>
                <w:sz w:val="18"/>
                <w:szCs w:val="18"/>
              </w:rPr>
            </w:pPr>
            <w:r>
              <w:rPr>
                <w:rFonts w:hint="eastAsia" w:ascii="宋体" w:hAnsi="宋体" w:eastAsia="宋体" w:cs="宋体"/>
                <w:kern w:val="0"/>
                <w:sz w:val="18"/>
                <w:szCs w:val="18"/>
              </w:rPr>
              <w:t>（1学分）</w:t>
            </w:r>
          </w:p>
        </w:tc>
        <w:tc>
          <w:tcPr>
            <w:tcW w:w="7472" w:type="dxa"/>
            <w:gridSpan w:val="10"/>
            <w:vAlign w:val="center"/>
          </w:tcPr>
          <w:p>
            <w:pPr>
              <w:pStyle w:val="5"/>
              <w:spacing w:line="240" w:lineRule="auto"/>
              <w:ind w:firstLine="360"/>
              <w:jc w:val="left"/>
              <w:rPr>
                <w:rFonts w:cs="宋体"/>
                <w:color w:val="000000"/>
                <w:kern w:val="0"/>
                <w:sz w:val="18"/>
                <w:szCs w:val="18"/>
              </w:rPr>
            </w:pPr>
            <w:r>
              <w:rPr>
                <w:rFonts w:hint="eastAsia" w:cs="宋体"/>
                <w:color w:val="000000"/>
                <w:kern w:val="0"/>
                <w:sz w:val="18"/>
                <w:szCs w:val="18"/>
              </w:rPr>
              <w:t>第4学期对思想品质、专业知识、科研创新、实践能力、健康状况进行考核并达到要求。</w:t>
            </w:r>
          </w:p>
        </w:tc>
        <w:tc>
          <w:tcPr>
            <w:tcW w:w="63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51" w:type="dxa"/>
            <w:vAlign w:val="center"/>
          </w:tcPr>
          <w:p>
            <w:pPr>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实习实践</w:t>
            </w:r>
          </w:p>
          <w:p>
            <w:pPr>
              <w:jc w:val="center"/>
              <w:rPr>
                <w:rFonts w:ascii="宋体" w:hAnsi="宋体" w:eastAsia="宋体" w:cs="宋体"/>
                <w:b/>
                <w:color w:val="000000"/>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8</w:t>
            </w:r>
            <w:r>
              <w:rPr>
                <w:rFonts w:hint="eastAsia" w:ascii="宋体" w:hAnsi="宋体" w:eastAsia="宋体" w:cs="宋体"/>
                <w:kern w:val="0"/>
                <w:sz w:val="18"/>
                <w:szCs w:val="18"/>
              </w:rPr>
              <w:t>学分）</w:t>
            </w:r>
          </w:p>
        </w:tc>
        <w:tc>
          <w:tcPr>
            <w:tcW w:w="7472" w:type="dxa"/>
            <w:gridSpan w:val="10"/>
            <w:vAlign w:val="center"/>
          </w:tcPr>
          <w:p>
            <w:pPr>
              <w:pStyle w:val="5"/>
              <w:spacing w:line="240" w:lineRule="auto"/>
              <w:ind w:firstLine="360"/>
              <w:rPr>
                <w:rFonts w:cs="宋体"/>
                <w:color w:val="000000"/>
                <w:kern w:val="0"/>
                <w:sz w:val="18"/>
                <w:szCs w:val="18"/>
              </w:rPr>
            </w:pPr>
            <w:r>
              <w:rPr>
                <w:rFonts w:hint="eastAsia" w:cs="宋体"/>
                <w:color w:val="000000"/>
                <w:kern w:val="0"/>
                <w:sz w:val="18"/>
                <w:szCs w:val="18"/>
              </w:rPr>
              <w:t>教学实践</w:t>
            </w:r>
            <w:r>
              <w:rPr>
                <w:rFonts w:hint="eastAsia" w:cs="宋体"/>
                <w:color w:val="000000"/>
                <w:kern w:val="0"/>
                <w:sz w:val="18"/>
                <w:szCs w:val="18"/>
                <w:lang w:eastAsia="zh-CN"/>
              </w:rPr>
              <w:t>（</w:t>
            </w:r>
            <w:r>
              <w:rPr>
                <w:rFonts w:hint="eastAsia" w:cs="宋体"/>
                <w:color w:val="000000"/>
                <w:kern w:val="0"/>
                <w:sz w:val="18"/>
                <w:szCs w:val="18"/>
                <w:lang w:val="en-US" w:eastAsia="zh-CN"/>
              </w:rPr>
              <w:t>1学分</w:t>
            </w:r>
            <w:r>
              <w:rPr>
                <w:rFonts w:hint="eastAsia" w:cs="宋体"/>
                <w:color w:val="000000"/>
                <w:kern w:val="0"/>
                <w:sz w:val="18"/>
                <w:szCs w:val="18"/>
                <w:lang w:eastAsia="zh-CN"/>
              </w:rPr>
              <w:t>）</w:t>
            </w:r>
            <w:r>
              <w:rPr>
                <w:rFonts w:hint="eastAsia" w:cs="宋体"/>
                <w:color w:val="000000"/>
                <w:kern w:val="0"/>
                <w:sz w:val="18"/>
                <w:szCs w:val="18"/>
              </w:rPr>
              <w:t>：教学实践时间累计不少于1个月的工作量，结束后由导师写出考核评语。</w:t>
            </w:r>
          </w:p>
          <w:p>
            <w:pPr>
              <w:pStyle w:val="5"/>
              <w:spacing w:line="240" w:lineRule="auto"/>
              <w:ind w:firstLine="360"/>
              <w:rPr>
                <w:rFonts w:cs="宋体"/>
                <w:color w:val="000000"/>
                <w:kern w:val="0"/>
                <w:sz w:val="18"/>
                <w:szCs w:val="18"/>
              </w:rPr>
            </w:pPr>
            <w:r>
              <w:rPr>
                <w:rFonts w:hint="eastAsia" w:cs="宋体"/>
                <w:color w:val="000000"/>
                <w:kern w:val="0"/>
                <w:sz w:val="18"/>
                <w:szCs w:val="18"/>
              </w:rPr>
              <w:t>行业实践（5学分）：在学习期间必须保证不少于半年的实习实践</w:t>
            </w:r>
            <w:r>
              <w:rPr>
                <w:rFonts w:hint="eastAsia" w:cs="宋体"/>
                <w:color w:val="000000"/>
                <w:kern w:val="0"/>
                <w:sz w:val="18"/>
                <w:szCs w:val="18"/>
                <w:highlight w:val="yellow"/>
                <w:lang w:eastAsia="zh-CN"/>
              </w:rPr>
              <w:t>（</w:t>
            </w:r>
            <w:r>
              <w:rPr>
                <w:rFonts w:hint="eastAsia" w:cs="宋体"/>
                <w:color w:val="000000"/>
                <w:kern w:val="0"/>
                <w:sz w:val="18"/>
                <w:szCs w:val="18"/>
                <w:highlight w:val="yellow"/>
                <w:lang w:val="en-US" w:eastAsia="zh-CN"/>
              </w:rPr>
              <w:t>智能会计与智慧决策方向要与研究方向相关</w:t>
            </w:r>
            <w:r>
              <w:rPr>
                <w:rFonts w:hint="eastAsia" w:cs="宋体"/>
                <w:color w:val="000000"/>
                <w:kern w:val="0"/>
                <w:sz w:val="18"/>
                <w:szCs w:val="18"/>
                <w:highlight w:val="yellow"/>
                <w:lang w:eastAsia="zh-CN"/>
              </w:rPr>
              <w:t>）</w:t>
            </w:r>
            <w:r>
              <w:rPr>
                <w:rFonts w:hint="eastAsia" w:cs="宋体"/>
                <w:color w:val="000000"/>
                <w:kern w:val="0"/>
                <w:sz w:val="18"/>
                <w:szCs w:val="18"/>
              </w:rPr>
              <w:t>，可采用集中实践与分段实践相结合的方式。学生应提交实践计划，撰写实践总结报告，通过后获得相应学分。具有三年以上财务、会计、审计相关专业工作经验的学生，可以通过提交专业实务工作总结等方式，获得相应学分。</w:t>
            </w:r>
          </w:p>
          <w:p>
            <w:pPr>
              <w:pStyle w:val="5"/>
              <w:spacing w:line="240" w:lineRule="auto"/>
              <w:ind w:firstLine="360"/>
              <w:rPr>
                <w:rFonts w:cs="宋体"/>
                <w:color w:val="000000"/>
                <w:kern w:val="0"/>
                <w:sz w:val="18"/>
                <w:szCs w:val="18"/>
              </w:rPr>
            </w:pPr>
            <w:r>
              <w:rPr>
                <w:rFonts w:hint="eastAsia" w:cs="宋体"/>
                <w:color w:val="000000"/>
                <w:kern w:val="0"/>
                <w:sz w:val="18"/>
                <w:szCs w:val="18"/>
              </w:rPr>
              <w:t>案例研究与开发（2学分）：在学习期间必须参与案例研究与开发活动</w:t>
            </w:r>
            <w:r>
              <w:rPr>
                <w:rFonts w:hint="eastAsia" w:cs="宋体"/>
                <w:color w:val="000000"/>
                <w:kern w:val="0"/>
                <w:sz w:val="18"/>
                <w:szCs w:val="18"/>
                <w:highlight w:val="yellow"/>
                <w:lang w:eastAsia="zh-CN"/>
              </w:rPr>
              <w:t>（</w:t>
            </w:r>
            <w:r>
              <w:rPr>
                <w:rFonts w:hint="eastAsia" w:cs="宋体"/>
                <w:color w:val="000000"/>
                <w:kern w:val="0"/>
                <w:sz w:val="18"/>
                <w:szCs w:val="18"/>
                <w:highlight w:val="yellow"/>
                <w:lang w:val="en-US" w:eastAsia="zh-CN"/>
              </w:rPr>
              <w:t>智能会计与智慧决策方向要与研究方向相关</w:t>
            </w:r>
            <w:r>
              <w:rPr>
                <w:rFonts w:hint="eastAsia" w:cs="宋体"/>
                <w:color w:val="000000"/>
                <w:kern w:val="0"/>
                <w:sz w:val="18"/>
                <w:szCs w:val="18"/>
                <w:highlight w:val="yellow"/>
                <w:lang w:eastAsia="zh-CN"/>
              </w:rPr>
              <w:t>）</w:t>
            </w:r>
            <w:r>
              <w:rPr>
                <w:rFonts w:hint="eastAsia" w:cs="宋体"/>
                <w:color w:val="000000"/>
                <w:kern w:val="0"/>
                <w:sz w:val="18"/>
                <w:szCs w:val="18"/>
              </w:rPr>
              <w:t>，包括但不限于参加学生案例大赛、独立或协助指导老师通过实地调研形成教学案例、参与企业管理咨询活动并形成管理咨询报告、发表案例研究方面的学术成果。案例研究与开发活动由指导教师根据学生参与的案例开发工作情况或科研成果评定成绩，学生取得相应学分。</w:t>
            </w:r>
          </w:p>
        </w:tc>
        <w:tc>
          <w:tcPr>
            <w:tcW w:w="63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51" w:type="dxa"/>
            <w:vAlign w:val="center"/>
          </w:tcPr>
          <w:p>
            <w:pPr>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创新创业</w:t>
            </w:r>
          </w:p>
          <w:p>
            <w:pPr>
              <w:jc w:val="center"/>
              <w:rPr>
                <w:rFonts w:ascii="宋体" w:hAnsi="宋体" w:eastAsia="宋体" w:cs="宋体"/>
                <w:kern w:val="0"/>
                <w:sz w:val="18"/>
                <w:szCs w:val="18"/>
              </w:rPr>
            </w:pPr>
            <w:r>
              <w:rPr>
                <w:rFonts w:hint="eastAsia" w:ascii="宋体" w:hAnsi="宋体" w:eastAsia="宋体" w:cs="宋体"/>
                <w:kern w:val="0"/>
                <w:sz w:val="18"/>
                <w:szCs w:val="18"/>
              </w:rPr>
              <w:t>（2学分）</w:t>
            </w:r>
          </w:p>
        </w:tc>
        <w:tc>
          <w:tcPr>
            <w:tcW w:w="7472" w:type="dxa"/>
            <w:gridSpan w:val="10"/>
            <w:vAlign w:val="center"/>
          </w:tcPr>
          <w:p>
            <w:pPr>
              <w:pStyle w:val="5"/>
              <w:spacing w:line="240" w:lineRule="auto"/>
              <w:ind w:firstLine="360"/>
              <w:rPr>
                <w:rFonts w:cs="宋体"/>
                <w:color w:val="000000"/>
                <w:kern w:val="0"/>
                <w:sz w:val="18"/>
                <w:szCs w:val="18"/>
              </w:rPr>
            </w:pPr>
            <w:r>
              <w:rPr>
                <w:rFonts w:hint="eastAsia" w:cs="宋体"/>
                <w:color w:val="000000"/>
                <w:kern w:val="0"/>
                <w:sz w:val="18"/>
                <w:szCs w:val="18"/>
              </w:rPr>
              <w:t xml:space="preserve">1. 参加全国性的科技竞赛、案例大赛、创意设计、创新创业竞赛等并获奖； </w:t>
            </w:r>
          </w:p>
          <w:p>
            <w:pPr>
              <w:pStyle w:val="5"/>
              <w:spacing w:line="240" w:lineRule="auto"/>
              <w:ind w:firstLine="360"/>
              <w:rPr>
                <w:rFonts w:cs="宋体"/>
                <w:color w:val="000000"/>
                <w:kern w:val="0"/>
                <w:sz w:val="18"/>
                <w:szCs w:val="18"/>
              </w:rPr>
            </w:pPr>
            <w:r>
              <w:rPr>
                <w:rFonts w:hint="eastAsia" w:cs="宋体"/>
                <w:color w:val="000000"/>
                <w:kern w:val="0"/>
                <w:sz w:val="18"/>
                <w:szCs w:val="18"/>
              </w:rPr>
              <w:t xml:space="preserve">2. 参加3次以上与本学科相关的学术报告，并提交总结； </w:t>
            </w:r>
          </w:p>
          <w:p>
            <w:pPr>
              <w:pStyle w:val="5"/>
              <w:spacing w:line="240" w:lineRule="auto"/>
              <w:ind w:firstLine="360"/>
              <w:rPr>
                <w:rFonts w:cs="宋体"/>
                <w:color w:val="000000"/>
                <w:kern w:val="0"/>
                <w:sz w:val="18"/>
                <w:szCs w:val="18"/>
              </w:rPr>
            </w:pPr>
            <w:r>
              <w:rPr>
                <w:rFonts w:hint="eastAsia" w:cs="宋体"/>
                <w:color w:val="000000"/>
                <w:kern w:val="0"/>
                <w:sz w:val="18"/>
                <w:szCs w:val="18"/>
              </w:rPr>
              <w:t>3. 参与创业活动并实际开展运营；</w:t>
            </w:r>
          </w:p>
          <w:p>
            <w:pPr>
              <w:pStyle w:val="5"/>
              <w:spacing w:line="240" w:lineRule="auto"/>
              <w:ind w:firstLine="360"/>
              <w:rPr>
                <w:rFonts w:cs="宋体"/>
                <w:color w:val="000000"/>
                <w:kern w:val="0"/>
                <w:sz w:val="18"/>
                <w:szCs w:val="18"/>
              </w:rPr>
            </w:pPr>
            <w:r>
              <w:rPr>
                <w:rFonts w:hint="eastAsia" w:cs="宋体"/>
                <w:color w:val="000000"/>
                <w:kern w:val="0"/>
                <w:sz w:val="18"/>
                <w:szCs w:val="18"/>
              </w:rPr>
              <w:t>4. 参与导师课题申报书撰写并获得导师认可；</w:t>
            </w:r>
          </w:p>
          <w:p>
            <w:pPr>
              <w:pStyle w:val="5"/>
              <w:spacing w:line="240" w:lineRule="auto"/>
              <w:ind w:firstLine="360"/>
              <w:rPr>
                <w:rFonts w:cs="宋体"/>
                <w:color w:val="000000"/>
                <w:kern w:val="0"/>
                <w:sz w:val="18"/>
                <w:szCs w:val="18"/>
              </w:rPr>
            </w:pPr>
            <w:r>
              <w:rPr>
                <w:rFonts w:hint="eastAsia" w:cs="宋体"/>
                <w:color w:val="000000"/>
                <w:kern w:val="0"/>
                <w:sz w:val="18"/>
                <w:szCs w:val="18"/>
              </w:rPr>
              <w:t>5. 进行3个月的出国访学研修或学术交流。</w:t>
            </w:r>
          </w:p>
          <w:p>
            <w:pPr>
              <w:pStyle w:val="5"/>
              <w:spacing w:line="240" w:lineRule="auto"/>
              <w:ind w:firstLine="360"/>
              <w:rPr>
                <w:rFonts w:cs="宋体"/>
                <w:color w:val="000000"/>
                <w:kern w:val="0"/>
                <w:sz w:val="18"/>
                <w:szCs w:val="18"/>
              </w:rPr>
            </w:pPr>
            <w:r>
              <w:rPr>
                <w:rFonts w:hint="eastAsia" w:cs="宋体"/>
                <w:color w:val="000000"/>
                <w:kern w:val="0"/>
                <w:sz w:val="18"/>
                <w:szCs w:val="18"/>
              </w:rPr>
              <w:t>每项记1学分，需完成2学分。</w:t>
            </w:r>
          </w:p>
        </w:tc>
        <w:tc>
          <w:tcPr>
            <w:tcW w:w="634" w:type="dxa"/>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34" w:type="dxa"/>
            <w:gridSpan w:val="2"/>
            <w:vAlign w:val="center"/>
          </w:tcPr>
          <w:p>
            <w:pPr>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培养单位</w:t>
            </w:r>
          </w:p>
          <w:p>
            <w:pPr>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教授委员会</w:t>
            </w:r>
          </w:p>
          <w:p>
            <w:pPr>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主任</w:t>
            </w:r>
          </w:p>
        </w:tc>
        <w:tc>
          <w:tcPr>
            <w:tcW w:w="3376" w:type="dxa"/>
            <w:gridSpan w:val="3"/>
            <w:vAlign w:val="center"/>
          </w:tcPr>
          <w:p>
            <w:pPr>
              <w:jc w:val="center"/>
              <w:rPr>
                <w:rFonts w:ascii="宋体" w:hAnsi="宋体" w:eastAsia="宋体" w:cs="宋体"/>
                <w:b/>
                <w:color w:val="000000"/>
                <w:kern w:val="0"/>
                <w:sz w:val="18"/>
                <w:szCs w:val="18"/>
              </w:rPr>
            </w:pPr>
            <w:r>
              <w:rPr>
                <w:rFonts w:hint="eastAsia" w:ascii="宋体" w:hAnsi="宋体" w:eastAsia="宋体" w:cs="宋体"/>
                <w:kern w:val="0"/>
                <w:sz w:val="18"/>
                <w:szCs w:val="18"/>
              </w:rPr>
              <w:t>朱振中</w:t>
            </w:r>
          </w:p>
        </w:tc>
        <w:tc>
          <w:tcPr>
            <w:tcW w:w="2215" w:type="dxa"/>
            <w:gridSpan w:val="3"/>
            <w:vAlign w:val="center"/>
          </w:tcPr>
          <w:p>
            <w:pPr>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培养单位</w:t>
            </w:r>
          </w:p>
          <w:p>
            <w:pPr>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负责人</w:t>
            </w:r>
          </w:p>
        </w:tc>
        <w:tc>
          <w:tcPr>
            <w:tcW w:w="2332" w:type="dxa"/>
            <w:gridSpan w:val="4"/>
            <w:vAlign w:val="center"/>
          </w:tcPr>
          <w:p>
            <w:pPr>
              <w:jc w:val="center"/>
              <w:rPr>
                <w:rFonts w:ascii="宋体" w:hAnsi="宋体" w:eastAsia="宋体" w:cs="宋体"/>
                <w:kern w:val="0"/>
                <w:sz w:val="18"/>
                <w:szCs w:val="18"/>
                <w:highlight w:val="yellow"/>
              </w:rPr>
            </w:pPr>
            <w:r>
              <w:rPr>
                <w:rFonts w:hint="eastAsia" w:ascii="宋体" w:hAnsi="宋体" w:eastAsia="宋体" w:cs="宋体"/>
                <w:kern w:val="0"/>
                <w:sz w:val="18"/>
                <w:szCs w:val="18"/>
              </w:rPr>
              <w:t>孙秀梅</w:t>
            </w:r>
          </w:p>
        </w:tc>
      </w:tr>
      <w:bookmarkEnd w:id="0"/>
    </w:tbl>
    <w:p>
      <w:pPr>
        <w:rPr>
          <w:rFonts w:ascii="宋体" w:hAnsi="宋体" w:eastAsia="宋体" w:cs="宋体"/>
          <w:sz w:val="18"/>
          <w:szCs w:val="18"/>
        </w:rPr>
      </w:pPr>
    </w:p>
    <w:p/>
    <w:sectPr>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8223516"/>
    </w:sdtPr>
    <w:sdtContent>
      <w:p>
        <w:pPr>
          <w:pStyle w:val="7"/>
          <w:jc w:val="center"/>
        </w:pPr>
        <w:r>
          <w:fldChar w:fldCharType="begin"/>
        </w:r>
        <w:r>
          <w:instrText xml:space="preserve">PAGE   \* MERGEFORMAT</w:instrText>
        </w:r>
        <w:r>
          <w:fldChar w:fldCharType="separate"/>
        </w:r>
        <w:r>
          <w:rPr>
            <w:lang w:val="zh-CN"/>
          </w:rPr>
          <w:t>11</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100</w:instrText>
    </w:r>
    <w:r>
      <w:rPr>
        <w:sz w:val="21"/>
        <w:szCs w:val="21"/>
      </w:rPr>
      <w:fldChar w:fldCharType="end"/>
    </w:r>
    <w:r>
      <w:rPr>
        <w:rFonts w:hint="eastAsia"/>
        <w:sz w:val="21"/>
        <w:szCs w:val="21"/>
      </w:rPr>
      <w:instrText xml:space="preserve">-80</w:instrText>
    </w:r>
    <w:r>
      <w:rPr>
        <w:sz w:val="21"/>
        <w:szCs w:val="21"/>
      </w:rPr>
      <w:fldChar w:fldCharType="separate"/>
    </w:r>
    <w:r>
      <w:rPr>
        <w:sz w:val="21"/>
        <w:szCs w:val="21"/>
      </w:rPr>
      <w:t>20</w:t>
    </w:r>
    <w:r>
      <w:rPr>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mY2Y2YTM3YWVkYzUxZjU5ZGQxZjk2YzExYzVlZjIifQ=="/>
  </w:docVars>
  <w:rsids>
    <w:rsidRoot w:val="00BE4851"/>
    <w:rsid w:val="0006790A"/>
    <w:rsid w:val="00110F16"/>
    <w:rsid w:val="001D018B"/>
    <w:rsid w:val="001F38F9"/>
    <w:rsid w:val="00337D85"/>
    <w:rsid w:val="00346ACC"/>
    <w:rsid w:val="00395751"/>
    <w:rsid w:val="005F36F5"/>
    <w:rsid w:val="00761ECB"/>
    <w:rsid w:val="00806397"/>
    <w:rsid w:val="00806779"/>
    <w:rsid w:val="00841120"/>
    <w:rsid w:val="008E2AF7"/>
    <w:rsid w:val="00AD0190"/>
    <w:rsid w:val="00B13A31"/>
    <w:rsid w:val="00B16E4A"/>
    <w:rsid w:val="00BE4851"/>
    <w:rsid w:val="00C41E38"/>
    <w:rsid w:val="00DC30E0"/>
    <w:rsid w:val="00DC5071"/>
    <w:rsid w:val="00E4254B"/>
    <w:rsid w:val="00E922E3"/>
    <w:rsid w:val="08676920"/>
    <w:rsid w:val="09AF26AE"/>
    <w:rsid w:val="0A993237"/>
    <w:rsid w:val="0C2A223F"/>
    <w:rsid w:val="0DDF63E6"/>
    <w:rsid w:val="175A4CB3"/>
    <w:rsid w:val="1C114510"/>
    <w:rsid w:val="1C4D2E00"/>
    <w:rsid w:val="1E1C4E9B"/>
    <w:rsid w:val="1E7C0395"/>
    <w:rsid w:val="25A62E12"/>
    <w:rsid w:val="288D5F29"/>
    <w:rsid w:val="303F3150"/>
    <w:rsid w:val="305D0266"/>
    <w:rsid w:val="30997B1F"/>
    <w:rsid w:val="33F0071B"/>
    <w:rsid w:val="35321F1A"/>
    <w:rsid w:val="358C547B"/>
    <w:rsid w:val="35981BCF"/>
    <w:rsid w:val="37634645"/>
    <w:rsid w:val="38D23498"/>
    <w:rsid w:val="3A150122"/>
    <w:rsid w:val="3C274A02"/>
    <w:rsid w:val="439433F4"/>
    <w:rsid w:val="477A2795"/>
    <w:rsid w:val="488D538A"/>
    <w:rsid w:val="4BBE0420"/>
    <w:rsid w:val="4D3778DE"/>
    <w:rsid w:val="4DE07B2E"/>
    <w:rsid w:val="4DEA7976"/>
    <w:rsid w:val="529F5156"/>
    <w:rsid w:val="562B1582"/>
    <w:rsid w:val="566674F2"/>
    <w:rsid w:val="584443C2"/>
    <w:rsid w:val="5A0A6D08"/>
    <w:rsid w:val="6325122A"/>
    <w:rsid w:val="63407EED"/>
    <w:rsid w:val="65970592"/>
    <w:rsid w:val="6A9B6CC8"/>
    <w:rsid w:val="71664491"/>
    <w:rsid w:val="7D502374"/>
    <w:rsid w:val="7F75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rFonts w:ascii="Times New Roman" w:hAnsi="Times New Roman" w:eastAsia="方正仿宋简体" w:cs="Times New Roman"/>
      <w:b/>
      <w:bCs/>
      <w:kern w:val="44"/>
      <w:sz w:val="36"/>
      <w:szCs w:val="44"/>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99"/>
    <w:pPr>
      <w:jc w:val="left"/>
    </w:pPr>
  </w:style>
  <w:style w:type="paragraph" w:styleId="5">
    <w:name w:val="Body Text Indent"/>
    <w:basedOn w:val="1"/>
    <w:link w:val="20"/>
    <w:qFormat/>
    <w:uiPriority w:val="0"/>
    <w:pPr>
      <w:snapToGrid w:val="0"/>
      <w:spacing w:line="324" w:lineRule="auto"/>
      <w:ind w:firstLine="560" w:firstLineChars="200"/>
    </w:pPr>
    <w:rPr>
      <w:rFonts w:ascii="宋体" w:hAnsi="宋体" w:eastAsia="宋体" w:cs="Times New Roman"/>
      <w:sz w:val="28"/>
      <w:szCs w:val="24"/>
    </w:rPr>
  </w:style>
  <w:style w:type="paragraph" w:styleId="6">
    <w:name w:val="Balloon Text"/>
    <w:basedOn w:val="1"/>
    <w:link w:val="22"/>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paragraph" w:styleId="10">
    <w:name w:val="annotation subject"/>
    <w:basedOn w:val="4"/>
    <w:next w:val="4"/>
    <w:link w:val="24"/>
    <w:semiHidden/>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character" w:styleId="15">
    <w:name w:val="annotation reference"/>
    <w:basedOn w:val="13"/>
    <w:semiHidden/>
    <w:unhideWhenUsed/>
    <w:qFormat/>
    <w:uiPriority w:val="99"/>
    <w:rPr>
      <w:sz w:val="21"/>
      <w:szCs w:val="21"/>
    </w:rPr>
  </w:style>
  <w:style w:type="character" w:customStyle="1" w:styleId="16">
    <w:name w:val="标题 1 Char"/>
    <w:basedOn w:val="13"/>
    <w:link w:val="2"/>
    <w:qFormat/>
    <w:uiPriority w:val="9"/>
    <w:rPr>
      <w:rFonts w:ascii="Times New Roman" w:hAnsi="Times New Roman" w:eastAsia="方正仿宋简体" w:cs="Times New Roman"/>
      <w:b/>
      <w:bCs/>
      <w:kern w:val="44"/>
      <w:sz w:val="36"/>
      <w:szCs w:val="44"/>
    </w:rPr>
  </w:style>
  <w:style w:type="character" w:customStyle="1" w:styleId="17">
    <w:name w:val="页眉 Char"/>
    <w:basedOn w:val="13"/>
    <w:link w:val="8"/>
    <w:qFormat/>
    <w:uiPriority w:val="99"/>
    <w:rPr>
      <w:sz w:val="18"/>
      <w:szCs w:val="18"/>
    </w:rPr>
  </w:style>
  <w:style w:type="character" w:customStyle="1" w:styleId="18">
    <w:name w:val="页脚 Char"/>
    <w:basedOn w:val="13"/>
    <w:link w:val="7"/>
    <w:qFormat/>
    <w:uiPriority w:val="99"/>
    <w:rPr>
      <w:sz w:val="18"/>
      <w:szCs w:val="18"/>
    </w:rPr>
  </w:style>
  <w:style w:type="character" w:customStyle="1" w:styleId="19">
    <w:name w:val="标题 2 Char"/>
    <w:basedOn w:val="13"/>
    <w:link w:val="3"/>
    <w:semiHidden/>
    <w:qFormat/>
    <w:uiPriority w:val="9"/>
    <w:rPr>
      <w:rFonts w:asciiTheme="majorHAnsi" w:hAnsiTheme="majorHAnsi" w:eastAsiaTheme="majorEastAsia" w:cstheme="majorBidi"/>
      <w:b/>
      <w:bCs/>
      <w:sz w:val="32"/>
      <w:szCs w:val="32"/>
    </w:rPr>
  </w:style>
  <w:style w:type="character" w:customStyle="1" w:styleId="20">
    <w:name w:val="正文文本缩进 Char"/>
    <w:basedOn w:val="13"/>
    <w:link w:val="5"/>
    <w:qFormat/>
    <w:uiPriority w:val="0"/>
    <w:rPr>
      <w:rFonts w:ascii="宋体" w:hAnsi="宋体" w:eastAsia="宋体" w:cs="Times New Roman"/>
      <w:sz w:val="28"/>
      <w:szCs w:val="24"/>
    </w:rPr>
  </w:style>
  <w:style w:type="paragraph" w:customStyle="1" w:styleId="21">
    <w:name w:val="sr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批注框文本 Char"/>
    <w:basedOn w:val="13"/>
    <w:link w:val="6"/>
    <w:semiHidden/>
    <w:qFormat/>
    <w:uiPriority w:val="99"/>
    <w:rPr>
      <w:rFonts w:asciiTheme="minorHAnsi" w:hAnsiTheme="minorHAnsi" w:eastAsiaTheme="minorEastAsia" w:cstheme="minorBidi"/>
      <w:kern w:val="2"/>
      <w:sz w:val="18"/>
      <w:szCs w:val="18"/>
    </w:rPr>
  </w:style>
  <w:style w:type="character" w:customStyle="1" w:styleId="23">
    <w:name w:val="批注文字 Char"/>
    <w:basedOn w:val="13"/>
    <w:link w:val="4"/>
    <w:semiHidden/>
    <w:uiPriority w:val="99"/>
    <w:rPr>
      <w:rFonts w:asciiTheme="minorHAnsi" w:hAnsiTheme="minorHAnsi" w:eastAsiaTheme="minorEastAsia" w:cstheme="minorBidi"/>
      <w:kern w:val="2"/>
      <w:sz w:val="21"/>
      <w:szCs w:val="22"/>
    </w:rPr>
  </w:style>
  <w:style w:type="character" w:customStyle="1" w:styleId="24">
    <w:name w:val="批注主题 Char"/>
    <w:basedOn w:val="23"/>
    <w:link w:val="10"/>
    <w:semiHidden/>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EB7F3C9-B467-408F-9DAB-BE62E82AD5B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2507</Words>
  <Characters>3795</Characters>
  <Lines>51</Lines>
  <Paragraphs>14</Paragraphs>
  <TotalTime>7</TotalTime>
  <ScaleCrop>false</ScaleCrop>
  <LinksUpToDate>false</LinksUpToDate>
  <CharactersWithSpaces>3949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2020-11-24T00:35:00Z</dcterms:created>
  <dc:creator>Windows 用户</dc:creator>
  <cp:lastModifiedBy>DELL</cp:lastModifiedBy>
  <cp:lastPrinted>2020-11-24T14:40:00Z</cp:lastPrinted>
  <dcterms:modified xsi:type="dcterms:W3CDTF">2023-04-26T02:35:50Z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9340957878FA48B19AA3FE5AB389FD5E</vt:lpwstr>
  </property>
</Properties>
</file>